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80"/>
              <w:left w:type="dxa" w:w="120"/>
              <w:bottom w:type="dxa" w:w="80"/>
              <w:right w:type="dxa" w:w="120"/>
            </w:tcMar>
          </w:tcPr>
          <w:p>
            <w:pPr>
              <w:spacing w:before="120" w:after="40"/>
            </w:pPr>
            <w:r>
              <w:rPr>
                <w:rFonts w:ascii="Arial" w:cs="Arial" w:eastAsia="Arial" w:hAnsi="Arial"/>
                <w:b/>
                <w:bCs/>
                <w:color w:val="AAAAAA"/>
                <w:sz w:val="20"/>
                <w:szCs w:val="20"/>
              </w:rPr>
              <w:t xml:space="preserve">BOARD EXECUTIVE BRIEFING</w:t>
            </w:r>
          </w:p>
          <w:p>
            <w:pPr>
              <w:spacing w:before="0" w:after="60"/>
            </w:pPr>
            <w:r>
              <w:rPr>
                <w:rFonts w:ascii="Arial" w:cs="Arial" w:eastAsia="Arial" w:hAnsi="Arial"/>
                <w:b/>
                <w:bCs/>
                <w:color w:val="FFFFFF"/>
                <w:sz w:val="44"/>
                <w:szCs w:val="44"/>
              </w:rPr>
              <w:t xml:space="preserve">5-Year Risk-Based Capital Plan</w:t>
            </w:r>
          </w:p>
          <w:p>
            <w:pPr>
              <w:spacing w:before="0" w:after="60"/>
            </w:pPr>
            <w:r>
              <w:rPr>
                <w:rFonts w:ascii="Arial" w:cs="Arial" w:eastAsia="Arial" w:hAnsi="Arial"/>
                <w:color w:val="B8D4F0"/>
                <w:sz w:val="22"/>
                <w:szCs w:val="22"/>
              </w:rPr>
              <w:t xml:space="preserve">Consolidated Portfolio  |  Canada &amp; United States  |  2026–2030</w:t>
            </w:r>
          </w:p>
          <w:p>
            <w:pPr>
              <w:spacing w:before="60" w:after="120"/>
            </w:pPr>
            <w:r>
              <w:rPr>
                <w:rFonts w:ascii="Arial" w:cs="Arial" w:eastAsia="Arial" w:hAnsi="Arial"/>
                <w:color w:val="8FBCD4"/>
                <w:sz w:val="18"/>
                <w:szCs w:val="18"/>
              </w:rPr>
              <w:t xml:space="preserve">Prepared by Roth IAMS  |  March 2026  |  Annual Budget: $5,000,000 USD</w:t>
            </w:r>
          </w:p>
        </w:tc>
      </w:tr>
    </w:tbl>
    <w:p>
      <w:pPr>
        <w:spacing w:before="0" w:after="20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none" w:color="FFFFFF" w:sz="0"/>
              <w:left w:val="none" w:color="FFFFFF" w:sz="0"/>
              <w:bottom w:val="none" w:color="FFFFFF" w:sz="0"/>
              <w:right w:val="none" w:color="FFFFFF" w:sz="0"/>
            </w:tcBorders>
            <w:shd w:fill="1F3864" w:val="clear"/>
            <w:tcMar>
              <w:top w:type="dxa" w:w="80"/>
              <w:left w:type="dxa" w:w="120"/>
              <w:bottom w:type="dxa" w:w="80"/>
              <w:right w:type="dxa" w:w="120"/>
            </w:tcMar>
          </w:tcPr>
          <w:p>
            <w:pPr>
              <w:spacing w:before="60" w:after="20"/>
              <w:jc w:val="center"/>
            </w:pPr>
            <w:r>
              <w:rPr>
                <w:rFonts w:ascii="Arial" w:cs="Arial" w:eastAsia="Arial" w:hAnsi="Arial"/>
                <w:b/>
                <w:bCs/>
                <w:color w:val="FFFFFF"/>
                <w:sz w:val="18"/>
                <w:szCs w:val="18"/>
              </w:rPr>
              <w:t xml:space="preserve">Total Portfolio Assets</w:t>
            </w:r>
          </w:p>
        </w:tc>
        <w:tc>
          <w:tcPr>
            <w:tcW w:type="dxa" w:w="2340"/>
            <w:tcBorders>
              <w:top w:val="none" w:color="FFFFFF" w:sz="0"/>
              <w:left w:val="none" w:color="FFFFFF" w:sz="0"/>
              <w:bottom w:val="none" w:color="FFFFFF" w:sz="0"/>
              <w:right w:val="none" w:color="FFFFFF" w:sz="0"/>
            </w:tcBorders>
            <w:shd w:fill="1F3864" w:val="clear"/>
            <w:tcMar>
              <w:top w:type="dxa" w:w="80"/>
              <w:left w:type="dxa" w:w="120"/>
              <w:bottom w:type="dxa" w:w="80"/>
              <w:right w:type="dxa" w:w="120"/>
            </w:tcMar>
          </w:tcPr>
          <w:p>
            <w:pPr>
              <w:spacing w:before="60" w:after="20"/>
              <w:jc w:val="center"/>
            </w:pPr>
            <w:r>
              <w:rPr>
                <w:rFonts w:ascii="Arial" w:cs="Arial" w:eastAsia="Arial" w:hAnsi="Arial"/>
                <w:b/>
                <w:bCs/>
                <w:color w:val="FFFFFF"/>
                <w:sz w:val="18"/>
                <w:szCs w:val="18"/>
              </w:rPr>
              <w:t xml:space="preserve">Combined Replacement Value</w:t>
            </w:r>
          </w:p>
        </w:tc>
        <w:tc>
          <w:tcPr>
            <w:tcW w:type="dxa" w:w="2340"/>
            <w:tcBorders>
              <w:top w:val="none" w:color="FFFFFF" w:sz="0"/>
              <w:left w:val="none" w:color="FFFFFF" w:sz="0"/>
              <w:bottom w:val="none" w:color="FFFFFF" w:sz="0"/>
              <w:right w:val="none" w:color="FFFFFF" w:sz="0"/>
            </w:tcBorders>
            <w:shd w:fill="1F3864" w:val="clear"/>
            <w:tcMar>
              <w:top w:type="dxa" w:w="80"/>
              <w:left w:type="dxa" w:w="120"/>
              <w:bottom w:type="dxa" w:w="80"/>
              <w:right w:type="dxa" w:w="120"/>
            </w:tcMar>
          </w:tcPr>
          <w:p>
            <w:pPr>
              <w:spacing w:before="60" w:after="20"/>
              <w:jc w:val="center"/>
            </w:pPr>
            <w:r>
              <w:rPr>
                <w:rFonts w:ascii="Arial" w:cs="Arial" w:eastAsia="Arial" w:hAnsi="Arial"/>
                <w:b/>
                <w:bCs/>
                <w:color w:val="FFFFFF"/>
                <w:sz w:val="18"/>
                <w:szCs w:val="18"/>
              </w:rPr>
              <w:t xml:space="preserve">5-Year Budget Envelope</w:t>
            </w:r>
          </w:p>
        </w:tc>
        <w:tc>
          <w:tcPr>
            <w:tcW w:type="dxa" w:w="2340"/>
            <w:tcBorders>
              <w:top w:val="none" w:color="FFFFFF" w:sz="0"/>
              <w:left w:val="none" w:color="FFFFFF" w:sz="0"/>
              <w:bottom w:val="none" w:color="FFFFFF" w:sz="0"/>
              <w:right w:val="none" w:color="FFFFFF" w:sz="0"/>
            </w:tcBorders>
            <w:shd w:fill="1F3864" w:val="clear"/>
            <w:tcMar>
              <w:top w:type="dxa" w:w="80"/>
              <w:left w:type="dxa" w:w="120"/>
              <w:bottom w:type="dxa" w:w="80"/>
              <w:right w:type="dxa" w:w="120"/>
            </w:tcMar>
          </w:tcPr>
          <w:p>
            <w:pPr>
              <w:spacing w:before="60" w:after="20"/>
              <w:jc w:val="center"/>
            </w:pPr>
            <w:r>
              <w:rPr>
                <w:rFonts w:ascii="Arial" w:cs="Arial" w:eastAsia="Arial" w:hAnsi="Arial"/>
                <w:b/>
                <w:bCs/>
                <w:color w:val="FFFFFF"/>
                <w:sz w:val="18"/>
                <w:szCs w:val="18"/>
              </w:rPr>
              <w:t xml:space="preserve">5-Year Plan Cost</w:t>
            </w:r>
          </w:p>
        </w:tc>
      </w:tr>
      <w:tr>
        <w:tc>
          <w:tcPr>
            <w:tcW w:type="dxa" w:w="2340"/>
            <w:tcBorders>
              <w:top w:val="none" w:color="FFFFFF" w:sz="0"/>
              <w:left w:val="none" w:color="FFFFFF" w:sz="0"/>
              <w:bottom w:val="none" w:color="FFFFFF" w:sz="0"/>
              <w:right w:val="none" w:color="FFFFFF" w:sz="0"/>
            </w:tcBorders>
            <w:shd w:fill="2F5496" w:val="clear"/>
            <w:tcMar>
              <w:top w:type="dxa" w:w="80"/>
              <w:left w:type="dxa" w:w="120"/>
              <w:bottom w:type="dxa" w:w="80"/>
              <w:right w:type="dxa" w:w="120"/>
            </w:tcMar>
          </w:tcPr>
          <w:p>
            <w:pPr>
              <w:spacing w:before="30" w:after="60"/>
              <w:jc w:val="center"/>
            </w:pPr>
            <w:r>
              <w:rPr>
                <w:rFonts w:ascii="Arial" w:cs="Arial" w:eastAsia="Arial" w:hAnsi="Arial"/>
                <w:b/>
                <w:bCs/>
                <w:color w:val="FFFFFF"/>
                <w:sz w:val="28"/>
                <w:szCs w:val="28"/>
              </w:rPr>
              <w:t xml:space="preserve">21 Buildings</w:t>
            </w:r>
          </w:p>
        </w:tc>
        <w:tc>
          <w:tcPr>
            <w:tcW w:type="dxa" w:w="2340"/>
            <w:tcBorders>
              <w:top w:val="none" w:color="FFFFFF" w:sz="0"/>
              <w:left w:val="none" w:color="FFFFFF" w:sz="0"/>
              <w:bottom w:val="none" w:color="FFFFFF" w:sz="0"/>
              <w:right w:val="none" w:color="FFFFFF" w:sz="0"/>
            </w:tcBorders>
            <w:shd w:fill="4472C4" w:val="clear"/>
            <w:tcMar>
              <w:top w:type="dxa" w:w="80"/>
              <w:left w:type="dxa" w:w="120"/>
              <w:bottom w:type="dxa" w:w="80"/>
              <w:right w:type="dxa" w:w="120"/>
            </w:tcMar>
          </w:tcPr>
          <w:p>
            <w:pPr>
              <w:spacing w:before="30" w:after="60"/>
              <w:jc w:val="center"/>
            </w:pPr>
            <w:r>
              <w:rPr>
                <w:rFonts w:ascii="Arial" w:cs="Arial" w:eastAsia="Arial" w:hAnsi="Arial"/>
                <w:b/>
                <w:bCs/>
                <w:color w:val="FFFFFF"/>
                <w:sz w:val="28"/>
                <w:szCs w:val="28"/>
              </w:rPr>
              <w:t xml:space="preserve">$1.705B USD</w:t>
            </w:r>
          </w:p>
        </w:tc>
        <w:tc>
          <w:tcPr>
            <w:tcW w:type="dxa" w:w="2340"/>
            <w:tcBorders>
              <w:top w:val="none" w:color="FFFFFF" w:sz="0"/>
              <w:left w:val="none" w:color="FFFFFF" w:sz="0"/>
              <w:bottom w:val="none" w:color="FFFFFF" w:sz="0"/>
              <w:right w:val="none" w:color="FFFFFF" w:sz="0"/>
            </w:tcBorders>
            <w:shd w:fill="375623" w:val="clear"/>
            <w:tcMar>
              <w:top w:type="dxa" w:w="80"/>
              <w:left w:type="dxa" w:w="120"/>
              <w:bottom w:type="dxa" w:w="80"/>
              <w:right w:type="dxa" w:w="120"/>
            </w:tcMar>
          </w:tcPr>
          <w:p>
            <w:pPr>
              <w:spacing w:before="30" w:after="60"/>
              <w:jc w:val="center"/>
            </w:pPr>
            <w:r>
              <w:rPr>
                <w:rFonts w:ascii="Arial" w:cs="Arial" w:eastAsia="Arial" w:hAnsi="Arial"/>
                <w:b/>
                <w:bCs/>
                <w:color w:val="FFFFFF"/>
                <w:sz w:val="28"/>
                <w:szCs w:val="28"/>
              </w:rPr>
              <w:t xml:space="preserve">$25.0M USD</w:t>
            </w:r>
          </w:p>
        </w:tc>
        <w:tc>
          <w:tcPr>
            <w:tcW w:type="dxa" w:w="2340"/>
            <w:tcBorders>
              <w:top w:val="none" w:color="FFFFFF" w:sz="0"/>
              <w:left w:val="none" w:color="FFFFFF" w:sz="0"/>
              <w:bottom w:val="none" w:color="FFFFFF" w:sz="0"/>
              <w:right w:val="none" w:color="FFFFFF" w:sz="0"/>
            </w:tcBorders>
            <w:shd w:fill="7030A0" w:val="clear"/>
            <w:tcMar>
              <w:top w:type="dxa" w:w="80"/>
              <w:left w:type="dxa" w:w="120"/>
              <w:bottom w:type="dxa" w:w="80"/>
              <w:right w:type="dxa" w:w="120"/>
            </w:tcMar>
          </w:tcPr>
          <w:p>
            <w:pPr>
              <w:spacing w:before="30" w:after="60"/>
              <w:jc w:val="center"/>
            </w:pPr>
            <w:r>
              <w:rPr>
                <w:rFonts w:ascii="Arial" w:cs="Arial" w:eastAsia="Arial" w:hAnsi="Arial"/>
                <w:b/>
                <w:bCs/>
                <w:color w:val="FFFFFF"/>
                <w:sz w:val="28"/>
                <w:szCs w:val="28"/>
              </w:rPr>
              <w:t xml:space="preserve">$21.4M USD</w:t>
            </w:r>
          </w:p>
        </w:tc>
      </w:tr>
    </w:tbl>
    <w:p>
      <w:pPr>
        <w:spacing w:before="0" w:after="16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1.  Purpose of This Briefing</w:t>
      </w:r>
    </w:p>
    <w:p>
      <w:pPr>
        <w:spacing w:before="60" w:after="120"/>
        <w:jc w:val="both"/>
      </w:pPr>
      <w:r>
        <w:rPr>
          <w:rFonts w:ascii="Arial" w:cs="Arial" w:eastAsia="Arial" w:hAnsi="Arial"/>
          <w:sz w:val="22"/>
          <w:szCs w:val="22"/>
        </w:rPr>
        <w:t xml:space="preserve">This briefing has been prepared in advance of the Board presentation to provide directors with context on the financial condition of the Roth IAMS-managed facility portfolio across Canada and the United States. The document summarizes the current state of the portfolio, the methodology used to prioritize capital investment, and the recommended 5-Year Capital Plan for Board review and endorsement.</w:t>
      </w:r>
    </w:p>
    <w:p>
      <w:pPr>
        <w:spacing w:before="60" w:after="120"/>
        <w:jc w:val="both"/>
      </w:pPr>
      <w:r>
        <w:rPr>
          <w:rFonts w:ascii="Arial" w:cs="Arial" w:eastAsia="Arial" w:hAnsi="Arial"/>
          <w:sz w:val="22"/>
          <w:szCs w:val="22"/>
        </w:rPr>
        <w:t xml:space="preserve">All values are expressed in United States Dollars (USD). Canadian portfolio values have been converted at the Bank of Canada mid-market rate of 0.7297 CAD/USD as of March 24, 2026. Future-year costs are escalated at 3% per annum from the 2026 base year to reflect construction cost inflation.</w:t>
      </w:r>
    </w:p>
    <w:p>
      <w:pPr>
        <w:spacing w:before="0" w:after="8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2.  Portfolio Overview</w:t>
      </w:r>
    </w:p>
    <w:p>
      <w:pPr>
        <w:spacing w:before="60" w:after="120"/>
        <w:jc w:val="both"/>
      </w:pPr>
      <w:r>
        <w:rPr>
          <w:rFonts w:ascii="Arial" w:cs="Arial" w:eastAsia="Arial" w:hAnsi="Arial"/>
          <w:sz w:val="22"/>
          <w:szCs w:val="22"/>
        </w:rPr>
        <w:t xml:space="preserve">Roth IAMS manages a consolidated portfolio of 21 buildings across Canada and the United States, representing a combined gross floor area of approximately 4.27 million square feet and a total replacement value of $1.705 billion USD. Facility Condition Assessments (FCAs) have been completed for all assets using the SLAM platform, providing a defensible, data-driven baseline for capital planning.</w:t>
      </w:r>
    </w:p>
    <w:p>
      <w:pPr>
        <w:spacing w:before="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080"/>
        <w:gridCol w:w="2080"/>
        <w:gridCol w:w="2080"/>
      </w:tblGrid>
      <w:tr>
        <w:tc>
          <w:tcPr>
            <w:tcW w:type="dxa" w:w="312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Metric</w:t>
            </w:r>
          </w:p>
        </w:tc>
        <w:tc>
          <w:tcPr>
            <w:tcW w:type="dxa" w:w="208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Canada (USD)</w:t>
            </w:r>
          </w:p>
        </w:tc>
        <w:tc>
          <w:tcPr>
            <w:tcW w:type="dxa" w:w="208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United States (USD)</w:t>
            </w:r>
          </w:p>
        </w:tc>
        <w:tc>
          <w:tcPr>
            <w:tcW w:type="dxa" w:w="208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Combined (USD)</w:t>
            </w:r>
          </w:p>
        </w:tc>
      </w:tr>
      <w:tr>
        <w:tc>
          <w:tcPr>
            <w:tcW w:type="dxa" w:w="31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left"/>
            </w:pPr>
            <w:r>
              <w:rPr>
                <w:rFonts w:ascii="Arial" w:cs="Arial" w:eastAsia="Arial" w:hAnsi="Arial"/>
                <w:b/>
                <w:bCs/>
                <w:color w:val="000000"/>
                <w:sz w:val="18"/>
                <w:szCs w:val="18"/>
              </w:rPr>
              <w:t xml:space="preserve">Buildings</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10</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11</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21</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left"/>
            </w:pPr>
            <w:r>
              <w:rPr>
                <w:rFonts w:ascii="Arial" w:cs="Arial" w:eastAsia="Arial" w:hAnsi="Arial"/>
                <w:b/>
                <w:bCs/>
                <w:color w:val="000000"/>
                <w:sz w:val="18"/>
                <w:szCs w:val="18"/>
              </w:rPr>
              <w:t xml:space="preserve">Gross Floor Area</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20.3M sqft</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17.1M sqft</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37.4M sqft</w:t>
            </w:r>
          </w:p>
        </w:tc>
      </w:tr>
      <w:tr>
        <w:tc>
          <w:tcPr>
            <w:tcW w:type="dxa" w:w="31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left"/>
            </w:pPr>
            <w:r>
              <w:rPr>
                <w:rFonts w:ascii="Arial" w:cs="Arial" w:eastAsia="Arial" w:hAnsi="Arial"/>
                <w:b/>
                <w:bCs/>
                <w:color w:val="000000"/>
                <w:sz w:val="18"/>
                <w:szCs w:val="18"/>
              </w:rPr>
              <w:t xml:space="preserve">Replacement Value</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$1.004B</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$701M</w:t>
            </w:r>
          </w:p>
        </w:tc>
        <w:tc>
          <w:tcPr>
            <w:tcW w:type="dxa" w:w="20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$1.705B</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left"/>
            </w:pPr>
            <w:r>
              <w:rPr>
                <w:rFonts w:ascii="Arial" w:cs="Arial" w:eastAsia="Arial" w:hAnsi="Arial"/>
                <w:b/>
                <w:bCs/>
                <w:color w:val="000000"/>
                <w:sz w:val="18"/>
                <w:szCs w:val="18"/>
              </w:rPr>
              <w:t xml:space="preserve">3-Yr Deferred Capital</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$436.7M</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$80.9M</w:t>
            </w:r>
          </w:p>
        </w:tc>
        <w:tc>
          <w:tcPr>
            <w:tcW w:type="dxa" w:w="2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$517.6M</w:t>
            </w:r>
          </w:p>
        </w:tc>
      </w:tr>
      <w:tr>
        <w:tc>
          <w:tcPr>
            <w:tcW w:type="dxa" w:w="31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left"/>
            </w:pPr>
            <w:r>
              <w:rPr>
                <w:rFonts w:ascii="Arial" w:cs="Arial" w:eastAsia="Arial" w:hAnsi="Arial"/>
                <w:b/>
                <w:bCs/>
                <w:color w:val="000000"/>
                <w:sz w:val="18"/>
                <w:szCs w:val="18"/>
              </w:rPr>
              <w:t xml:space="preserve">3-Year FCI</w:t>
            </w:r>
          </w:p>
        </w:tc>
        <w:tc>
          <w:tcPr>
            <w:tcW w:type="dxa" w:w="2080"/>
            <w:tcBorders>
              <w:top w:val="single" w:color="CCCCCC" w:sz="1"/>
              <w:left w:val="single" w:color="CCCCCC" w:sz="1"/>
              <w:bottom w:val="single" w:color="CCCCCC" w:sz="1"/>
              <w:right w:val="single" w:color="CCCCCC" w:sz="1"/>
            </w:tcBorders>
            <w:shd w:fill="FFC7CE" w:val="clear"/>
            <w:tcMar>
              <w:top w:type="dxa" w:w="80"/>
              <w:left w:type="dxa" w:w="120"/>
              <w:bottom w:type="dxa" w:w="80"/>
              <w:right w:type="dxa" w:w="120"/>
            </w:tcMar>
          </w:tcPr>
          <w:p>
            <w:pPr>
              <w:spacing w:before="50" w:after="50"/>
              <w:jc w:val="center"/>
            </w:pPr>
            <w:r>
              <w:rPr>
                <w:rFonts w:ascii="Arial" w:cs="Arial" w:eastAsia="Arial" w:hAnsi="Arial"/>
                <w:b/>
                <w:bCs/>
                <w:color w:val="C00000"/>
                <w:sz w:val="18"/>
                <w:szCs w:val="18"/>
              </w:rPr>
              <w:t xml:space="preserve">43.5%</w:t>
            </w:r>
          </w:p>
        </w:tc>
        <w:tc>
          <w:tcPr>
            <w:tcW w:type="dxa" w:w="2080"/>
            <w:tcBorders>
              <w:top w:val="single" w:color="CCCCCC" w:sz="1"/>
              <w:left w:val="single" w:color="CCCCCC" w:sz="1"/>
              <w:bottom w:val="single" w:color="CCCCCC" w:sz="1"/>
              <w:right w:val="single" w:color="CCCCCC" w:sz="1"/>
            </w:tcBorders>
            <w:shd w:fill="FFEB9C" w:val="clear"/>
            <w:tcMar>
              <w:top w:type="dxa" w:w="80"/>
              <w:left w:type="dxa" w:w="120"/>
              <w:bottom w:type="dxa" w:w="80"/>
              <w:right w:type="dxa" w:w="120"/>
            </w:tcMar>
          </w:tcPr>
          <w:p>
            <w:pPr>
              <w:spacing w:before="50" w:after="50"/>
              <w:jc w:val="center"/>
            </w:pPr>
            <w:r>
              <w:rPr>
                <w:rFonts w:ascii="Arial" w:cs="Arial" w:eastAsia="Arial" w:hAnsi="Arial"/>
                <w:b/>
                <w:bCs/>
                <w:color w:val="7B4800"/>
                <w:sz w:val="18"/>
                <w:szCs w:val="18"/>
              </w:rPr>
              <w:t xml:space="preserve">11.5%</w:t>
            </w:r>
          </w:p>
        </w:tc>
        <w:tc>
          <w:tcPr>
            <w:tcW w:type="dxa" w:w="2080"/>
            <w:tcBorders>
              <w:top w:val="single" w:color="CCCCCC" w:sz="1"/>
              <w:left w:val="single" w:color="CCCCCC" w:sz="1"/>
              <w:bottom w:val="single" w:color="CCCCCC" w:sz="1"/>
              <w:right w:val="single" w:color="CCCCCC" w:sz="1"/>
            </w:tcBorders>
            <w:shd w:fill="FFC7CE" w:val="clear"/>
            <w:tcMar>
              <w:top w:type="dxa" w:w="80"/>
              <w:left w:type="dxa" w:w="120"/>
              <w:bottom w:type="dxa" w:w="80"/>
              <w:right w:type="dxa" w:w="120"/>
            </w:tcMar>
          </w:tcPr>
          <w:p>
            <w:pPr>
              <w:spacing w:before="50" w:after="50"/>
              <w:jc w:val="center"/>
            </w:pPr>
            <w:r>
              <w:rPr>
                <w:rFonts w:ascii="Arial" w:cs="Arial" w:eastAsia="Arial" w:hAnsi="Arial"/>
                <w:b/>
                <w:bCs/>
                <w:color w:val="C00000"/>
                <w:sz w:val="18"/>
                <w:szCs w:val="18"/>
              </w:rPr>
              <w:t xml:space="preserve">30.3%</w:t>
            </w:r>
          </w:p>
        </w:tc>
      </w:tr>
    </w:tbl>
    <w:p>
      <w:pPr>
        <w:spacing w:before="0" w:after="100"/>
      </w:pPr>
      <w:r>
        <w:rPr>
          <w:rFonts w:ascii="Arial" w:cs="Arial" w:eastAsia="Arial" w:hAnsi="Arial"/>
          <w:sz w:val="22"/>
          <w:szCs w:val="22"/>
        </w:rPr>
        <w:t xml:space="preserve"/>
      </w:r>
    </w:p>
    <w:p>
      <w:pPr>
        <w:spacing w:before="60" w:after="120"/>
        <w:jc w:val="both"/>
      </w:pPr>
      <w:r>
        <w:rPr>
          <w:rFonts w:ascii="Arial" w:cs="Arial" w:eastAsia="Arial" w:hAnsi="Arial"/>
          <w:sz w:val="22"/>
          <w:szCs w:val="22"/>
        </w:rPr>
        <w:t xml:space="preserve">The Canadian portfolio carries a significantly elevated Facility Condition Index (FCI) of 43.5%, compared to 11.5% for the US portfolio. This disparity reflects the age and deferred maintenance profile of the Canadian assets, several of which were constructed in the late 1920s through 1970s and have accumulated substantial renewal backlogs. The combined portfolio FCI of 30.3% places the portfolio in the “Poor” band under standard industry benchmarking, exceeding the 25% threshold that typically triggers urgent Board-level capital action.</w:t>
      </w:r>
    </w:p>
    <w:p>
      <w:pPr>
        <w:spacing w:before="0" w:after="60"/>
      </w:pPr>
      <w:r>
        <w:rPr>
          <w:rFonts w:ascii="Arial" w:cs="Arial" w:eastAsia="Arial" w:hAnsi="Arial"/>
          <w:sz w:val="22"/>
          <w:szCs w:val="22"/>
        </w:rPr>
        <w:t xml:space="preserve"/>
      </w:r>
    </w:p>
    <w:p>
      <w:pPr>
        <w:spacing w:before="60" w:after="40"/>
      </w:pPr>
      <w:r>
        <w:rPr>
          <w:rFonts w:ascii="Arial" w:cs="Arial" w:eastAsia="Arial" w:hAnsi="Arial"/>
          <w:b/>
          <w:bCs/>
          <w:color w:val="1F3864"/>
          <w:sz w:val="20"/>
          <w:szCs w:val="20"/>
        </w:rPr>
        <w:t xml:space="preserve">FCI Benchmark Reference: </w:t>
      </w:r>
      <w:r>
        <w:rPr>
          <w:rFonts w:ascii="Arial" w:cs="Arial" w:eastAsia="Arial" w:hAnsi="Arial"/>
          <w:sz w:val="20"/>
          <w:szCs w:val="20"/>
        </w:rPr>
        <w:t xml:space="preserve">Standard industry interpretation of Facility Condition Index scores:</w:t>
      </w:r>
    </w:p>
    <w:p>
      <w:pPr>
        <w:pStyle w:val="ListParagraph"/>
        <w:numPr>
          <w:ilvl w:val="0"/>
          <w:numId w:val="2"/>
        </w:numPr>
        <w:spacing w:before="40" w:after="40"/>
      </w:pPr>
      <w:r>
        <w:rPr>
          <w:rFonts w:ascii="Arial" w:cs="Arial" w:eastAsia="Arial" w:hAnsi="Arial"/>
          <w:b/>
          <w:bCs/>
          <w:sz w:val="22"/>
          <w:szCs w:val="22"/>
        </w:rPr>
        <w:t xml:space="preserve">Good (&lt; 10%)  </w:t>
      </w:r>
      <w:r>
        <w:rPr>
          <w:rFonts w:ascii="Arial" w:cs="Arial" w:eastAsia="Arial" w:hAnsi="Arial"/>
          <w:sz w:val="22"/>
          <w:szCs w:val="22"/>
        </w:rPr>
        <w:t xml:space="preserve">Asset is well-maintained; proactive management focus</w:t>
      </w:r>
    </w:p>
    <w:p>
      <w:pPr>
        <w:pStyle w:val="ListParagraph"/>
        <w:numPr>
          <w:ilvl w:val="0"/>
          <w:numId w:val="2"/>
        </w:numPr>
        <w:spacing w:before="40" w:after="40"/>
      </w:pPr>
      <w:r>
        <w:rPr>
          <w:rFonts w:ascii="Arial" w:cs="Arial" w:eastAsia="Arial" w:hAnsi="Arial"/>
          <w:b/>
          <w:bCs/>
          <w:sz w:val="22"/>
          <w:szCs w:val="22"/>
        </w:rPr>
        <w:t xml:space="preserve">Fair (10%–25%)  </w:t>
      </w:r>
      <w:r>
        <w:rPr>
          <w:rFonts w:ascii="Arial" w:cs="Arial" w:eastAsia="Arial" w:hAnsi="Arial"/>
          <w:sz w:val="22"/>
          <w:szCs w:val="22"/>
        </w:rPr>
        <w:t xml:space="preserve">Moderate deterioration; planned investment required</w:t>
      </w:r>
    </w:p>
    <w:p>
      <w:pPr>
        <w:pStyle w:val="ListParagraph"/>
        <w:numPr>
          <w:ilvl w:val="0"/>
          <w:numId w:val="2"/>
        </w:numPr>
        <w:spacing w:before="40" w:after="40"/>
      </w:pPr>
      <w:r>
        <w:rPr>
          <w:rFonts w:ascii="Arial" w:cs="Arial" w:eastAsia="Arial" w:hAnsi="Arial"/>
          <w:b/>
          <w:bCs/>
          <w:sz w:val="22"/>
          <w:szCs w:val="22"/>
        </w:rPr>
        <w:t xml:space="preserve">Poor (25%–60%)  </w:t>
      </w:r>
      <w:r>
        <w:rPr>
          <w:rFonts w:ascii="Arial" w:cs="Arial" w:eastAsia="Arial" w:hAnsi="Arial"/>
          <w:sz w:val="22"/>
          <w:szCs w:val="22"/>
        </w:rPr>
        <w:t xml:space="preserve">Significant backlog; risk of accelerated failure; prioritized investment critical</w:t>
      </w:r>
    </w:p>
    <w:p>
      <w:pPr>
        <w:pStyle w:val="ListParagraph"/>
        <w:numPr>
          <w:ilvl w:val="0"/>
          <w:numId w:val="2"/>
        </w:numPr>
        <w:spacing w:before="40" w:after="40"/>
      </w:pPr>
      <w:r>
        <w:rPr>
          <w:rFonts w:ascii="Arial" w:cs="Arial" w:eastAsia="Arial" w:hAnsi="Arial"/>
          <w:b/>
          <w:bCs/>
          <w:sz w:val="22"/>
          <w:szCs w:val="22"/>
        </w:rPr>
        <w:t xml:space="preserve">Critical (&gt; 60%)  </w:t>
      </w:r>
      <w:r>
        <w:rPr>
          <w:rFonts w:ascii="Arial" w:cs="Arial" w:eastAsia="Arial" w:hAnsi="Arial"/>
          <w:sz w:val="22"/>
          <w:szCs w:val="22"/>
        </w:rPr>
        <w:t xml:space="preserve">Major intervention required; consider disposition or major recapitalization</w:t>
      </w:r>
    </w:p>
    <w:p>
      <w:pPr>
        <w:spacing w:before="0" w:after="12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3.  The Capital Challenge</w:t>
      </w:r>
    </w:p>
    <w:p>
      <w:pPr>
        <w:spacing w:before="60" w:after="120"/>
        <w:jc w:val="both"/>
      </w:pPr>
      <w:r>
        <w:rPr>
          <w:rFonts w:ascii="Arial" w:cs="Arial" w:eastAsia="Arial" w:hAnsi="Arial"/>
          <w:sz w:val="22"/>
          <w:szCs w:val="22"/>
        </w:rPr>
        <w:t xml:space="preserve">The full scope of renewal needs identified across the consolidated portfolio over the 2026–2030 period totals approximately $452 million USD. Against an annual renewal budget of $5 million, the plan addresses $21.4 million — approximately 4.7% of the total identified need. This underscores a fundamental reality that faces many institutions managing aging facilities: the annual budget is a triage tool, not a solution to the full backlog.</w:t>
      </w:r>
    </w:p>
    <w:p>
      <w:pPr>
        <w:spacing w:before="60" w:after="120"/>
        <w:jc w:val="both"/>
      </w:pPr>
      <w:r>
        <w:rPr>
          <w:rFonts w:ascii="Arial" w:cs="Arial" w:eastAsia="Arial" w:hAnsi="Arial"/>
          <w:sz w:val="22"/>
          <w:szCs w:val="22"/>
        </w:rPr>
        <w:t xml:space="preserve">The Board should understand three things clearly:</w:t>
      </w:r>
    </w:p>
    <w:p>
      <w:pPr>
        <w:pStyle w:val="ListParagraph"/>
        <w:numPr>
          <w:ilvl w:val="0"/>
          <w:numId w:val="2"/>
        </w:numPr>
        <w:spacing w:before="40" w:after="40"/>
      </w:pPr>
      <w:r>
        <w:rPr>
          <w:rFonts w:ascii="Arial" w:cs="Arial" w:eastAsia="Arial" w:hAnsi="Arial"/>
          <w:sz w:val="22"/>
          <w:szCs w:val="22"/>
        </w:rPr>
        <w:t xml:space="preserve">The $5M annual budget is sufficient to address the highest-risk life-safety and building envelope items on a risk-prioritized basis.</w:t>
      </w:r>
    </w:p>
    <w:p>
      <w:pPr>
        <w:pStyle w:val="ListParagraph"/>
        <w:numPr>
          <w:ilvl w:val="0"/>
          <w:numId w:val="2"/>
        </w:numPr>
        <w:spacing w:before="40" w:after="40"/>
      </w:pPr>
      <w:r>
        <w:rPr>
          <w:rFonts w:ascii="Arial" w:cs="Arial" w:eastAsia="Arial" w:hAnsi="Arial"/>
          <w:sz w:val="22"/>
          <w:szCs w:val="22"/>
        </w:rPr>
        <w:t xml:space="preserve">The majority of the deferred backlog — approximately $431 million — will continue to accumulate, and costs will escalate at 3% annually if not addressed.</w:t>
      </w:r>
    </w:p>
    <w:p>
      <w:pPr>
        <w:pStyle w:val="ListParagraph"/>
        <w:numPr>
          <w:ilvl w:val="0"/>
          <w:numId w:val="2"/>
        </w:numPr>
        <w:spacing w:before="40" w:after="40"/>
      </w:pPr>
      <w:r>
        <w:rPr>
          <w:rFonts w:ascii="Arial" w:cs="Arial" w:eastAsia="Arial" w:hAnsi="Arial"/>
          <w:sz w:val="22"/>
          <w:szCs w:val="22"/>
        </w:rPr>
        <w:t xml:space="preserve">Without a longer-term capital investment strategy, the portfolio FCI will worsen, operational disruptions will increase, and the eventual cost of intervention will be substantially higher.</w:t>
      </w:r>
    </w:p>
    <w:p>
      <w:pPr>
        <w:spacing w:before="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00000" w:sz="1"/>
              <w:left w:val="single" w:color="C00000" w:sz="1"/>
              <w:bottom w:val="single" w:color="C00000" w:sz="1"/>
              <w:right w:val="single" w:color="C00000" w:sz="1"/>
            </w:tcBorders>
            <w:shd w:fill="FDF2F2" w:val="clear"/>
            <w:tcMar>
              <w:top w:type="dxa" w:w="80"/>
              <w:left w:type="dxa" w:w="120"/>
              <w:bottom w:type="dxa" w:w="80"/>
              <w:right w:type="dxa" w:w="120"/>
            </w:tcMar>
          </w:tcPr>
          <w:p>
            <w:pPr>
              <w:spacing w:before="80" w:after="40"/>
            </w:pPr>
            <w:r>
              <w:rPr>
                <w:rFonts w:ascii="Arial" w:cs="Arial" w:eastAsia="Arial" w:hAnsi="Arial"/>
                <w:b/>
                <w:bCs/>
                <w:color w:val="C00000"/>
                <w:sz w:val="22"/>
                <w:szCs w:val="22"/>
              </w:rPr>
              <w:t xml:space="preserve">⚠  Residual Risk Exposure</w:t>
            </w:r>
          </w:p>
          <w:p>
            <w:pPr>
              <w:spacing w:before="20" w:after="60"/>
              <w:jc w:val="both"/>
            </w:pPr>
            <w:r>
              <w:rPr>
                <w:rFonts w:ascii="Arial" w:cs="Arial" w:eastAsia="Arial" w:hAnsi="Arial"/>
                <w:sz w:val="20"/>
                <w:szCs w:val="20"/>
              </w:rPr>
              <w:t xml:space="preserve">The Deferred Risk Register (Tab 3 of the attached capital plan workbook) identifies 276 high-risk recommendations — assessed at Poor or Very Poor condition — that cannot be accommodated within the $5M/year budget envelope. Items involving fire alarm, standpipe, and emergency notification systems are of particular concern and may warrant supplemental capital allocation or an accelerated investment scenario. The Board is advised to consider whether a higher annual envelope or a one-time supplemental appropriation is warranted for the Canadian portfolio specifically.</w:t>
            </w:r>
          </w:p>
        </w:tc>
      </w:tr>
    </w:tbl>
    <w:p>
      <w:pPr>
        <w:spacing w:before="0" w:after="12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4.  Prioritization Methodology</w:t>
      </w:r>
    </w:p>
    <w:p>
      <w:pPr>
        <w:spacing w:before="60" w:after="120"/>
        <w:jc w:val="both"/>
      </w:pPr>
      <w:r>
        <w:rPr>
          <w:rFonts w:ascii="Arial" w:cs="Arial" w:eastAsia="Arial" w:hAnsi="Arial"/>
          <w:sz w:val="22"/>
          <w:szCs w:val="22"/>
        </w:rPr>
        <w:t xml:space="preserve">The 5-Year Capital Plan was developed using a risk-based prioritization model applied to the full SLAM recommendation dataset. Each recommendation was scored on four weighted dimensions and ranked in descending order within each annual $5M budget envelope.</w:t>
      </w:r>
    </w:p>
    <w:p>
      <w:pPr>
        <w:spacing w:before="0" w:after="6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200"/>
        <w:gridCol w:w="5760"/>
      </w:tblGrid>
      <w:tr>
        <w:tc>
          <w:tcPr>
            <w:tcW w:type="dxa" w:w="24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pPr>
            <w:r>
              <w:rPr>
                <w:rFonts w:ascii="Arial" w:cs="Arial" w:eastAsia="Arial" w:hAnsi="Arial"/>
                <w:b/>
                <w:bCs/>
                <w:color w:val="FFFFFF"/>
                <w:sz w:val="18"/>
                <w:szCs w:val="18"/>
              </w:rPr>
              <w:t xml:space="preserve">Scoring Dimension</w:t>
            </w:r>
          </w:p>
        </w:tc>
        <w:tc>
          <w:tcPr>
            <w:tcW w:type="dxa" w:w="12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pPr>
            <w:r>
              <w:rPr>
                <w:rFonts w:ascii="Arial" w:cs="Arial" w:eastAsia="Arial" w:hAnsi="Arial"/>
                <w:b/>
                <w:bCs/>
                <w:color w:val="FFFFFF"/>
                <w:sz w:val="18"/>
                <w:szCs w:val="18"/>
              </w:rPr>
              <w:t xml:space="preserve">Max Points</w:t>
            </w:r>
          </w:p>
        </w:tc>
        <w:tc>
          <w:tcPr>
            <w:tcW w:type="dxa" w:w="576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pPr>
            <w:r>
              <w:rPr>
                <w:rFonts w:ascii="Arial" w:cs="Arial" w:eastAsia="Arial" w:hAnsi="Arial"/>
                <w:b/>
                <w:bCs/>
                <w:color w:val="FFFFFF"/>
                <w:sz w:val="18"/>
                <w:szCs w:val="18"/>
              </w:rPr>
              <w:t xml:space="preserve">Description</w:t>
            </w:r>
          </w:p>
        </w:tc>
      </w:tr>
      <w:tr>
        <w:tc>
          <w:tcPr>
            <w:tcW w:type="dxa" w:w="2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pPr>
            <w:r>
              <w:rPr>
                <w:rFonts w:ascii="Arial" w:cs="Arial" w:eastAsia="Arial" w:hAnsi="Arial"/>
                <w:b/>
                <w:bCs/>
                <w:sz w:val="18"/>
                <w:szCs w:val="18"/>
              </w:rPr>
              <w:t xml:space="preserve">SLAM Priority Rating</w:t>
            </w:r>
          </w:p>
        </w:tc>
        <w:tc>
          <w:tcPr>
            <w:tcW w:type="dxa" w:w="12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100</w:t>
            </w:r>
          </w:p>
        </w:tc>
        <w:tc>
          <w:tcPr>
            <w:tcW w:type="dxa" w:w="576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pPr>
            <w:r>
              <w:rPr>
                <w:rFonts w:ascii="Arial" w:cs="Arial" w:eastAsia="Arial" w:hAnsi="Arial"/>
                <w:sz w:val="18"/>
                <w:szCs w:val="18"/>
              </w:rPr>
              <w:t xml:space="preserve">Health &amp; Safety = 100 pts; Imminent Breakdown = 80 pts; Proactive Replacement = 40 pts; Upgrade = 20 pts</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pPr>
            <w:r>
              <w:rPr>
                <w:rFonts w:ascii="Arial" w:cs="Arial" w:eastAsia="Arial" w:hAnsi="Arial"/>
                <w:b/>
                <w:bCs/>
                <w:sz w:val="18"/>
                <w:szCs w:val="18"/>
              </w:rPr>
              <w:t xml:space="preserve">Element Condition</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50</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pPr>
            <w:r>
              <w:rPr>
                <w:rFonts w:ascii="Arial" w:cs="Arial" w:eastAsia="Arial" w:hAnsi="Arial"/>
                <w:sz w:val="18"/>
                <w:szCs w:val="18"/>
              </w:rPr>
              <w:t xml:space="preserve">Very Poor/Critical = 50 pts; Poor = 35 pts; Fair = 20 pts; Good = 5 pts; Very Good = 2 pts</w:t>
            </w:r>
          </w:p>
        </w:tc>
      </w:tr>
      <w:tr>
        <w:tc>
          <w:tcPr>
            <w:tcW w:type="dxa" w:w="2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pPr>
            <w:r>
              <w:rPr>
                <w:rFonts w:ascii="Arial" w:cs="Arial" w:eastAsia="Arial" w:hAnsi="Arial"/>
                <w:b/>
                <w:bCs/>
                <w:sz w:val="18"/>
                <w:szCs w:val="18"/>
              </w:rPr>
              <w:t xml:space="preserve">SLAM MVP Score</w:t>
            </w:r>
          </w:p>
        </w:tc>
        <w:tc>
          <w:tcPr>
            <w:tcW w:type="dxa" w:w="12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20</w:t>
            </w:r>
          </w:p>
        </w:tc>
        <w:tc>
          <w:tcPr>
            <w:tcW w:type="dxa" w:w="576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pPr>
            <w:r>
              <w:rPr>
                <w:rFonts w:ascii="Arial" w:cs="Arial" w:eastAsia="Arial" w:hAnsi="Arial"/>
                <w:sz w:val="18"/>
                <w:szCs w:val="18"/>
              </w:rPr>
              <w:t xml:space="preserve">Normalized 0–20 from SLAM’s proprietary multi-variable priority algorithm</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pPr>
            <w:r>
              <w:rPr>
                <w:rFonts w:ascii="Arial" w:cs="Arial" w:eastAsia="Arial" w:hAnsi="Arial"/>
                <w:b/>
                <w:bCs/>
                <w:sz w:val="18"/>
                <w:szCs w:val="18"/>
              </w:rPr>
              <w:t xml:space="preserve">Risk Category Bonus</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30</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pPr>
            <w:r>
              <w:rPr>
                <w:rFonts w:ascii="Arial" w:cs="Arial" w:eastAsia="Arial" w:hAnsi="Arial"/>
                <w:sz w:val="18"/>
                <w:szCs w:val="18"/>
              </w:rPr>
              <w:t xml:space="preserve">Life-safety systems +30; Building envelope +20; Mechanical/electrical systems +15; Security +10</w:t>
            </w:r>
          </w:p>
        </w:tc>
      </w:tr>
    </w:tbl>
    <w:p>
      <w:pPr>
        <w:spacing w:before="0" w:after="100"/>
      </w:pPr>
      <w:r>
        <w:rPr>
          <w:rFonts w:ascii="Arial" w:cs="Arial" w:eastAsia="Arial" w:hAnsi="Arial"/>
          <w:sz w:val="22"/>
          <w:szCs w:val="22"/>
        </w:rPr>
        <w:t xml:space="preserve"/>
      </w:r>
    </w:p>
    <w:p>
      <w:pPr>
        <w:spacing w:before="60" w:after="120"/>
        <w:jc w:val="both"/>
      </w:pPr>
      <w:r>
        <w:rPr>
          <w:rFonts w:ascii="Arial" w:cs="Arial" w:eastAsia="Arial" w:hAnsi="Arial"/>
          <w:sz w:val="22"/>
          <w:szCs w:val="22"/>
        </w:rPr>
        <w:t xml:space="preserve">Projects were allocated to each year’s budget in descending risk-score order using a greedy allocation algorithm — maximizing life-safety risk reduction per dollar invested, subject to the annual budget constraint. The resulting plan is transparent, auditable, and aligned with recognized asset management standards (ISO 55000).</w:t>
      </w:r>
    </w:p>
    <w:p>
      <w:pPr>
        <w:spacing w:before="0" w:after="8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5.  The 5-Year Capital Plan (2026–2030)</w:t>
      </w:r>
    </w:p>
    <w:p>
      <w:pPr>
        <w:spacing w:before="60" w:after="120"/>
        <w:jc w:val="both"/>
      </w:pPr>
      <w:r>
        <w:rPr>
          <w:rFonts w:ascii="Arial" w:cs="Arial" w:eastAsia="Arial" w:hAnsi="Arial"/>
          <w:sz w:val="22"/>
          <w:szCs w:val="22"/>
        </w:rPr>
        <w:t xml:space="preserve">The plan encompasses 51 projects across both portfolios, with a total inflation-adjusted cost of $21.4 million against a $25 million total budget envelope. Budget utilization averages 85.6% across the five-year period, with 2029 under-utilized due to the limited number of SLAM-scheduled recommendations in that year.</w:t>
      </w:r>
    </w:p>
    <w:p>
      <w:pPr>
        <w:spacing w:before="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1200"/>
        <w:gridCol w:w="1760"/>
        <w:gridCol w:w="2020"/>
        <w:gridCol w:w="1680"/>
        <w:gridCol w:w="1400"/>
      </w:tblGrid>
      <w:tr>
        <w:tc>
          <w:tcPr>
            <w:tcW w:type="dxa" w:w="13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Year</w:t>
            </w:r>
          </w:p>
        </w:tc>
        <w:tc>
          <w:tcPr>
            <w:tcW w:type="dxa" w:w="12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 Projects</w:t>
            </w:r>
          </w:p>
        </w:tc>
        <w:tc>
          <w:tcPr>
            <w:tcW w:type="dxa" w:w="176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Budget (USD)</w:t>
            </w:r>
          </w:p>
        </w:tc>
        <w:tc>
          <w:tcPr>
            <w:tcW w:type="dxa" w:w="202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Plan Cost
(Infl-Adj)</w:t>
            </w:r>
          </w:p>
        </w:tc>
        <w:tc>
          <w:tcPr>
            <w:tcW w:type="dxa" w:w="168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Remaining</w:t>
            </w:r>
          </w:p>
        </w:tc>
        <w:tc>
          <w:tcPr>
            <w:tcW w:type="dxa" w:w="14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Utilization</w:t>
            </w:r>
          </w:p>
        </w:tc>
      </w:tr>
      <w:tr>
        <w:tc>
          <w:tcPr>
            <w:tcW w:type="dxa" w:w="13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2026</w:t>
            </w:r>
          </w:p>
        </w:tc>
        <w:tc>
          <w:tcPr>
            <w:tcW w:type="dxa" w:w="12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13</w:t>
            </w:r>
          </w:p>
        </w:tc>
        <w:tc>
          <w:tcPr>
            <w:tcW w:type="dxa" w:w="176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$5,000,000</w:t>
            </w:r>
          </w:p>
        </w:tc>
        <w:tc>
          <w:tcPr>
            <w:tcW w:type="dxa" w:w="20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$4,998,242</w:t>
            </w:r>
          </w:p>
        </w:tc>
        <w:tc>
          <w:tcPr>
            <w:tcW w:type="dxa" w:w="16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$1,758</w:t>
            </w:r>
          </w:p>
        </w:tc>
        <w:tc>
          <w:tcPr>
            <w:tcW w:type="dxa" w:w="1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100.0%</w:t>
            </w:r>
          </w:p>
        </w:tc>
      </w:tr>
      <w:tr>
        <w:tc>
          <w:tcPr>
            <w:tcW w:type="dxa" w:w="13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2027</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15</w:t>
            </w:r>
          </w:p>
        </w:tc>
        <w:tc>
          <w:tcPr>
            <w:tcW w:type="dxa" w:w="1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$5,000,000</w:t>
            </w:r>
          </w:p>
        </w:tc>
        <w:tc>
          <w:tcPr>
            <w:tcW w:type="dxa" w:w="20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$4,986,659</w:t>
            </w:r>
          </w:p>
        </w:tc>
        <w:tc>
          <w:tcPr>
            <w:tcW w:type="dxa" w:w="1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$13,341</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99.7%</w:t>
            </w:r>
          </w:p>
        </w:tc>
      </w:tr>
      <w:tr>
        <w:tc>
          <w:tcPr>
            <w:tcW w:type="dxa" w:w="13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2028</w:t>
            </w:r>
          </w:p>
        </w:tc>
        <w:tc>
          <w:tcPr>
            <w:tcW w:type="dxa" w:w="12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3</w:t>
            </w:r>
          </w:p>
        </w:tc>
        <w:tc>
          <w:tcPr>
            <w:tcW w:type="dxa" w:w="176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$5,000,000</w:t>
            </w:r>
          </w:p>
        </w:tc>
        <w:tc>
          <w:tcPr>
            <w:tcW w:type="dxa" w:w="20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$4,920,943</w:t>
            </w:r>
          </w:p>
        </w:tc>
        <w:tc>
          <w:tcPr>
            <w:tcW w:type="dxa" w:w="16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$79,057</w:t>
            </w:r>
          </w:p>
        </w:tc>
        <w:tc>
          <w:tcPr>
            <w:tcW w:type="dxa" w:w="1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98.4%</w:t>
            </w:r>
          </w:p>
        </w:tc>
      </w:tr>
      <w:tr>
        <w:tc>
          <w:tcPr>
            <w:tcW w:type="dxa" w:w="13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2029</w:t>
            </w:r>
          </w:p>
        </w:tc>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w:t>
            </w:r>
          </w:p>
        </w:tc>
        <w:tc>
          <w:tcPr>
            <w:tcW w:type="dxa" w:w="1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$5,000,000</w:t>
            </w:r>
          </w:p>
        </w:tc>
        <w:tc>
          <w:tcPr>
            <w:tcW w:type="dxa" w:w="20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$1,541,416</w:t>
            </w:r>
          </w:p>
        </w:tc>
        <w:tc>
          <w:tcPr>
            <w:tcW w:type="dxa" w:w="1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$3,458,584</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30.8%</w:t>
            </w:r>
          </w:p>
        </w:tc>
      </w:tr>
      <w:tr>
        <w:tc>
          <w:tcPr>
            <w:tcW w:type="dxa" w:w="13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center"/>
            </w:pPr>
            <w:r>
              <w:rPr>
                <w:rFonts w:ascii="Arial" w:cs="Arial" w:eastAsia="Arial" w:hAnsi="Arial"/>
                <w:color w:val="000000"/>
                <w:sz w:val="18"/>
                <w:szCs w:val="18"/>
              </w:rPr>
              <w:t xml:space="preserve">2030</w:t>
            </w:r>
          </w:p>
        </w:tc>
        <w:tc>
          <w:tcPr>
            <w:tcW w:type="dxa" w:w="12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16</w:t>
            </w:r>
          </w:p>
        </w:tc>
        <w:tc>
          <w:tcPr>
            <w:tcW w:type="dxa" w:w="176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$5,000,000</w:t>
            </w:r>
          </w:p>
        </w:tc>
        <w:tc>
          <w:tcPr>
            <w:tcW w:type="dxa" w:w="202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$4,952,781</w:t>
            </w:r>
          </w:p>
        </w:tc>
        <w:tc>
          <w:tcPr>
            <w:tcW w:type="dxa" w:w="168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$47,219</w:t>
            </w:r>
          </w:p>
        </w:tc>
        <w:tc>
          <w:tcPr>
            <w:tcW w:type="dxa" w:w="1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pPr>
              <w:spacing w:before="50" w:after="50"/>
              <w:jc w:val="right"/>
            </w:pPr>
            <w:r>
              <w:rPr>
                <w:rFonts w:ascii="Arial" w:cs="Arial" w:eastAsia="Arial" w:hAnsi="Arial"/>
                <w:color w:val="000000"/>
                <w:sz w:val="18"/>
                <w:szCs w:val="18"/>
              </w:rPr>
              <w:t xml:space="preserve">99.1%</w:t>
            </w:r>
          </w:p>
        </w:tc>
      </w:tr>
      <w:tr>
        <w:tc>
          <w:tcPr>
            <w:tcW w:type="dxa" w:w="130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center"/>
            </w:pPr>
            <w:r>
              <w:rPr>
                <w:rFonts w:ascii="Arial" w:cs="Arial" w:eastAsia="Arial" w:hAnsi="Arial"/>
                <w:b/>
                <w:bCs/>
                <w:color w:val="FFFFFF"/>
                <w:sz w:val="20"/>
                <w:szCs w:val="20"/>
              </w:rPr>
              <w:t xml:space="preserve">TOTAL</w:t>
            </w:r>
          </w:p>
        </w:tc>
        <w:tc>
          <w:tcPr>
            <w:tcW w:type="dxa" w:w="120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right"/>
            </w:pPr>
            <w:r>
              <w:rPr>
                <w:rFonts w:ascii="Arial" w:cs="Arial" w:eastAsia="Arial" w:hAnsi="Arial"/>
                <w:b/>
                <w:bCs/>
                <w:color w:val="FFFFFF"/>
                <w:sz w:val="20"/>
                <w:szCs w:val="20"/>
              </w:rPr>
              <w:t xml:space="preserve">51</w:t>
            </w:r>
          </w:p>
        </w:tc>
        <w:tc>
          <w:tcPr>
            <w:tcW w:type="dxa" w:w="176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right"/>
            </w:pPr>
            <w:r>
              <w:rPr>
                <w:rFonts w:ascii="Arial" w:cs="Arial" w:eastAsia="Arial" w:hAnsi="Arial"/>
                <w:b/>
                <w:bCs/>
                <w:color w:val="FFFFFF"/>
                <w:sz w:val="20"/>
                <w:szCs w:val="20"/>
              </w:rPr>
              <w:t xml:space="preserve">$25,000,000</w:t>
            </w:r>
          </w:p>
        </w:tc>
        <w:tc>
          <w:tcPr>
            <w:tcW w:type="dxa" w:w="202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right"/>
            </w:pPr>
            <w:r>
              <w:rPr>
                <w:rFonts w:ascii="Arial" w:cs="Arial" w:eastAsia="Arial" w:hAnsi="Arial"/>
                <w:b/>
                <w:bCs/>
                <w:color w:val="FFFFFF"/>
                <w:sz w:val="20"/>
                <w:szCs w:val="20"/>
              </w:rPr>
              <w:t xml:space="preserve">$21,400,041</w:t>
            </w:r>
          </w:p>
        </w:tc>
        <w:tc>
          <w:tcPr>
            <w:tcW w:type="dxa" w:w="168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right"/>
            </w:pPr>
            <w:r>
              <w:rPr>
                <w:rFonts w:ascii="Arial" w:cs="Arial" w:eastAsia="Arial" w:hAnsi="Arial"/>
                <w:b/>
                <w:bCs/>
                <w:color w:val="FFFFFF"/>
                <w:sz w:val="20"/>
                <w:szCs w:val="20"/>
              </w:rPr>
              <w:t xml:space="preserve">$3,599,959</w:t>
            </w:r>
          </w:p>
        </w:tc>
        <w:tc>
          <w:tcPr>
            <w:tcW w:type="dxa" w:w="140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jc w:val="right"/>
            </w:pPr>
            <w:r>
              <w:rPr>
                <w:rFonts w:ascii="Arial" w:cs="Arial" w:eastAsia="Arial" w:hAnsi="Arial"/>
                <w:b/>
                <w:bCs/>
                <w:color w:val="FFFFFF"/>
                <w:sz w:val="20"/>
                <w:szCs w:val="20"/>
              </w:rPr>
              <w:t xml:space="preserve">85.6%</w:t>
            </w:r>
          </w:p>
        </w:tc>
      </w:tr>
    </w:tbl>
    <w:p>
      <w:pPr>
        <w:spacing w:before="0" w:after="100"/>
      </w:pPr>
      <w:r>
        <w:rPr>
          <w:rFonts w:ascii="Arial" w:cs="Arial" w:eastAsia="Arial" w:hAnsi="Arial"/>
          <w:sz w:val="22"/>
          <w:szCs w:val="22"/>
        </w:rPr>
        <w:t xml:space="preserve"/>
      </w:r>
    </w:p>
    <w:p>
      <w:pPr>
        <w:spacing w:before="60" w:after="120"/>
        <w:jc w:val="both"/>
      </w:pPr>
      <w:r>
        <w:rPr>
          <w:rFonts w:ascii="Arial" w:cs="Arial" w:eastAsia="Arial" w:hAnsi="Arial"/>
          <w:sz w:val="22"/>
          <w:szCs w:val="22"/>
        </w:rPr>
        <w:t xml:space="preserve">The 2029 under-utilization ($3.46M remaining) represents a planning opportunity. Management recommends pulling forward high-priority 2030 or 2031 items into 2029, or directing the surplus toward life-safety items currently sitting on the Deferred Risk Register.</w:t>
      </w:r>
    </w:p>
    <w:p>
      <w:pPr>
        <w:spacing w:before="0" w:after="80"/>
      </w:pPr>
      <w:r>
        <w:rPr>
          <w:rFonts w:ascii="Arial" w:cs="Arial" w:eastAsia="Arial" w:hAnsi="Arial"/>
          <w:sz w:val="22"/>
          <w:szCs w:val="22"/>
        </w:rPr>
        <w:t xml:space="preserve"/>
      </w:r>
    </w:p>
    <w:p>
      <w:pPr>
        <w:pStyle w:val="Heading2"/>
        <w:spacing w:before="200" w:after="80"/>
      </w:pPr>
      <w:r>
        <w:rPr>
          <w:rFonts w:ascii="Arial" w:cs="Arial" w:eastAsia="Arial" w:hAnsi="Arial"/>
          <w:b/>
          <w:bCs/>
          <w:color w:val="2F5496"/>
          <w:sz w:val="24"/>
          <w:szCs w:val="24"/>
        </w:rPr>
        <w:t xml:space="preserve">Plan Composition by Risk Category</w:t>
      </w:r>
    </w:p>
    <w:p>
      <w:pPr>
        <w:spacing w:before="60" w:after="120"/>
        <w:jc w:val="both"/>
      </w:pPr>
      <w:r>
        <w:rPr>
          <w:rFonts w:ascii="Arial" w:cs="Arial" w:eastAsia="Arial" w:hAnsi="Arial"/>
          <w:sz w:val="22"/>
          <w:szCs w:val="22"/>
        </w:rPr>
        <w:t xml:space="preserve">The plan is weighted heavily toward life-safety and building envelope systems, consistent with the risk-first mandate:</w:t>
      </w:r>
    </w:p>
    <w:p>
      <w:pPr>
        <w:spacing w:before="0" w:after="6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1400"/>
        <w:gridCol w:w="2360"/>
        <w:gridCol w:w="1400"/>
      </w:tblGrid>
      <w:tr>
        <w:tc>
          <w:tcPr>
            <w:tcW w:type="dxa" w:w="42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Category</w:t>
            </w:r>
          </w:p>
        </w:tc>
        <w:tc>
          <w:tcPr>
            <w:tcW w:type="dxa" w:w="14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Projects</w:t>
            </w:r>
          </w:p>
        </w:tc>
        <w:tc>
          <w:tcPr>
            <w:tcW w:type="dxa" w:w="236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Plan Cost (USD)</w:t>
            </w:r>
          </w:p>
        </w:tc>
        <w:tc>
          <w:tcPr>
            <w:tcW w:type="dxa" w:w="1400"/>
            <w:tcBorders>
              <w:top w:val="single" w:color="1F3864" w:sz="1"/>
              <w:left w:val="single" w:color="1F3864" w:sz="1"/>
              <w:bottom w:val="single" w:color="1F3864" w:sz="1"/>
              <w:right w:val="single" w:color="1F3864" w:sz="1"/>
            </w:tcBorders>
            <w:shd w:fill="1F3864" w:val="clear"/>
            <w:tcMar>
              <w:top w:type="dxa" w:w="80"/>
              <w:left w:type="dxa" w:w="120"/>
              <w:bottom w:type="dxa" w:w="80"/>
              <w:right w:type="dxa" w:w="120"/>
            </w:tcMar>
          </w:tcPr>
          <w:p>
            <w:pPr>
              <w:spacing w:before="60" w:after="60"/>
              <w:jc w:val="center"/>
            </w:pPr>
            <w:r>
              <w:rPr>
                <w:rFonts w:ascii="Arial" w:cs="Arial" w:eastAsia="Arial" w:hAnsi="Arial"/>
                <w:b/>
                <w:bCs/>
                <w:color w:val="FFFFFF"/>
                <w:sz w:val="18"/>
                <w:szCs w:val="18"/>
              </w:rPr>
              <w:t xml:space="preserve">% of Plan</w:t>
            </w:r>
          </w:p>
        </w:tc>
      </w:tr>
      <w:tr>
        <w:tc>
          <w:tcPr>
            <w:tcW w:type="dxa" w:w="4200"/>
            <w:tcBorders>
              <w:top w:val="single" w:color="CCCCCC" w:sz="1"/>
              <w:left w:val="single" w:color="CCCCCC" w:sz="1"/>
              <w:bottom w:val="single" w:color="CCCCCC" w:sz="1"/>
              <w:right w:val="single" w:color="CCCCCC" w:sz="1"/>
            </w:tcBorders>
            <w:shd w:fill="C00000" w:val="clear"/>
            <w:tcMar>
              <w:top w:type="dxa" w:w="80"/>
              <w:left w:type="dxa" w:w="120"/>
              <w:bottom w:type="dxa" w:w="80"/>
              <w:right w:type="dxa" w:w="120"/>
            </w:tcMar>
          </w:tcPr>
          <w:p>
            <w:pPr>
              <w:spacing w:before="50" w:after="50"/>
            </w:pPr>
            <w:r>
              <w:rPr>
                <w:rFonts w:ascii="Arial" w:cs="Arial" w:eastAsia="Arial" w:hAnsi="Arial"/>
                <w:b/>
                <w:bCs/>
                <w:color w:val="FFFFFF"/>
                <w:sz w:val="18"/>
                <w:szCs w:val="18"/>
              </w:rPr>
              <w:t xml:space="preserve">Life Safety &amp; Emergency Systems</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16</w:t>
            </w:r>
          </w:p>
        </w:tc>
        <w:tc>
          <w:tcPr>
            <w:tcW w:type="dxa" w:w="23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right"/>
            </w:pPr>
            <w:r>
              <w:rPr>
                <w:rFonts w:ascii="Arial" w:cs="Arial" w:eastAsia="Arial" w:hAnsi="Arial"/>
                <w:sz w:val="18"/>
                <w:szCs w:val="18"/>
              </w:rPr>
              <w:t xml:space="preserve">$13,430,495</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b/>
                <w:bCs/>
                <w:sz w:val="18"/>
                <w:szCs w:val="18"/>
              </w:rPr>
              <w:t xml:space="preserve">62.8%</w:t>
            </w:r>
          </w:p>
        </w:tc>
      </w:tr>
      <w:tr>
        <w:tc>
          <w:tcPr>
            <w:tcW w:type="dxa" w:w="4200"/>
            <w:tcBorders>
              <w:top w:val="single" w:color="CCCCCC" w:sz="1"/>
              <w:left w:val="single" w:color="CCCCCC" w:sz="1"/>
              <w:bottom w:val="single" w:color="CCCCCC" w:sz="1"/>
              <w:right w:val="single" w:color="CCCCCC" w:sz="1"/>
            </w:tcBorders>
            <w:shd w:fill="2F5496" w:val="clear"/>
            <w:tcMar>
              <w:top w:type="dxa" w:w="80"/>
              <w:left w:type="dxa" w:w="120"/>
              <w:bottom w:type="dxa" w:w="80"/>
              <w:right w:type="dxa" w:w="120"/>
            </w:tcMar>
          </w:tcPr>
          <w:p>
            <w:pPr>
              <w:spacing w:before="50" w:after="50"/>
            </w:pPr>
            <w:r>
              <w:rPr>
                <w:rFonts w:ascii="Arial" w:cs="Arial" w:eastAsia="Arial" w:hAnsi="Arial"/>
                <w:b/>
                <w:bCs/>
                <w:color w:val="FFFFFF"/>
                <w:sz w:val="18"/>
                <w:szCs w:val="18"/>
              </w:rPr>
              <w:t xml:space="preserve">Building Envelope</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4</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sz w:val="18"/>
                <w:szCs w:val="18"/>
              </w:rPr>
              <w:t xml:space="preserve">$4,918,557</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b/>
                <w:bCs/>
                <w:sz w:val="18"/>
                <w:szCs w:val="18"/>
              </w:rPr>
              <w:t xml:space="preserve">23.0%</w:t>
            </w:r>
          </w:p>
        </w:tc>
      </w:tr>
      <w:tr>
        <w:tc>
          <w:tcPr>
            <w:tcW w:type="dxa" w:w="4200"/>
            <w:tcBorders>
              <w:top w:val="single" w:color="CCCCCC" w:sz="1"/>
              <w:left w:val="single" w:color="CCCCCC" w:sz="1"/>
              <w:bottom w:val="single" w:color="CCCCCC" w:sz="1"/>
              <w:right w:val="single" w:color="CCCCCC" w:sz="1"/>
            </w:tcBorders>
            <w:shd w:fill="C55A11" w:val="clear"/>
            <w:tcMar>
              <w:top w:type="dxa" w:w="80"/>
              <w:left w:type="dxa" w:w="120"/>
              <w:bottom w:type="dxa" w:w="80"/>
              <w:right w:type="dxa" w:w="120"/>
            </w:tcMar>
          </w:tcPr>
          <w:p>
            <w:pPr>
              <w:spacing w:before="50" w:after="50"/>
            </w:pPr>
            <w:r>
              <w:rPr>
                <w:rFonts w:ascii="Arial" w:cs="Arial" w:eastAsia="Arial" w:hAnsi="Arial"/>
                <w:b/>
                <w:bCs/>
                <w:color w:val="FFFFFF"/>
                <w:sz w:val="18"/>
                <w:szCs w:val="18"/>
              </w:rPr>
              <w:t xml:space="preserve">Mechanical Systems</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5</w:t>
            </w:r>
          </w:p>
        </w:tc>
        <w:tc>
          <w:tcPr>
            <w:tcW w:type="dxa" w:w="23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right"/>
            </w:pPr>
            <w:r>
              <w:rPr>
                <w:rFonts w:ascii="Arial" w:cs="Arial" w:eastAsia="Arial" w:hAnsi="Arial"/>
                <w:sz w:val="18"/>
                <w:szCs w:val="18"/>
              </w:rPr>
              <w:t xml:space="preserve">$141,699</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b/>
                <w:bCs/>
                <w:sz w:val="18"/>
                <w:szCs w:val="18"/>
              </w:rPr>
              <w:t xml:space="preserve">0.7%</w:t>
            </w:r>
          </w:p>
        </w:tc>
      </w:tr>
      <w:tr>
        <w:tc>
          <w:tcPr>
            <w:tcW w:type="dxa" w:w="4200"/>
            <w:tcBorders>
              <w:top w:val="single" w:color="CCCCCC" w:sz="1"/>
              <w:left w:val="single" w:color="CCCCCC" w:sz="1"/>
              <w:bottom w:val="single" w:color="CCCCCC" w:sz="1"/>
              <w:right w:val="single" w:color="CCCCCC" w:sz="1"/>
            </w:tcBorders>
            <w:shd w:fill="375623" w:val="clear"/>
            <w:tcMar>
              <w:top w:type="dxa" w:w="80"/>
              <w:left w:type="dxa" w:w="120"/>
              <w:bottom w:type="dxa" w:w="80"/>
              <w:right w:type="dxa" w:w="120"/>
            </w:tcMar>
          </w:tcPr>
          <w:p>
            <w:pPr>
              <w:spacing w:before="50" w:after="50"/>
            </w:pPr>
            <w:r>
              <w:rPr>
                <w:rFonts w:ascii="Arial" w:cs="Arial" w:eastAsia="Arial" w:hAnsi="Arial"/>
                <w:b/>
                <w:bCs/>
                <w:color w:val="FFFFFF"/>
                <w:sz w:val="18"/>
                <w:szCs w:val="18"/>
              </w:rPr>
              <w:t xml:space="preserve">Security Systems</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6</w:t>
            </w:r>
          </w:p>
        </w:tc>
        <w:tc>
          <w:tcPr>
            <w:tcW w:type="dxa" w:w="2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right"/>
            </w:pPr>
            <w:r>
              <w:rPr>
                <w:rFonts w:ascii="Arial" w:cs="Arial" w:eastAsia="Arial" w:hAnsi="Arial"/>
                <w:sz w:val="18"/>
                <w:szCs w:val="18"/>
              </w:rPr>
              <w:t xml:space="preserve">$854,286</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spacing w:before="50" w:after="50"/>
              <w:jc w:val="center"/>
            </w:pPr>
            <w:r>
              <w:rPr>
                <w:rFonts w:ascii="Arial" w:cs="Arial" w:eastAsia="Arial" w:hAnsi="Arial"/>
                <w:b/>
                <w:bCs/>
                <w:sz w:val="18"/>
                <w:szCs w:val="18"/>
              </w:rPr>
              <w:t xml:space="preserve">4.0%</w:t>
            </w:r>
          </w:p>
        </w:tc>
      </w:tr>
      <w:tr>
        <w:tc>
          <w:tcPr>
            <w:tcW w:type="dxa" w:w="4200"/>
            <w:tcBorders>
              <w:top w:val="single" w:color="CCCCCC" w:sz="1"/>
              <w:left w:val="single" w:color="CCCCCC" w:sz="1"/>
              <w:bottom w:val="single" w:color="CCCCCC" w:sz="1"/>
              <w:right w:val="single" w:color="CCCCCC" w:sz="1"/>
            </w:tcBorders>
            <w:shd w:fill="595959" w:val="clear"/>
            <w:tcMar>
              <w:top w:type="dxa" w:w="80"/>
              <w:left w:type="dxa" w:w="120"/>
              <w:bottom w:type="dxa" w:w="80"/>
              <w:right w:type="dxa" w:w="120"/>
            </w:tcMar>
          </w:tcPr>
          <w:p>
            <w:pPr>
              <w:spacing w:before="50" w:after="50"/>
            </w:pPr>
            <w:r>
              <w:rPr>
                <w:rFonts w:ascii="Arial" w:cs="Arial" w:eastAsia="Arial" w:hAnsi="Arial"/>
                <w:b/>
                <w:bCs/>
                <w:color w:val="FFFFFF"/>
                <w:sz w:val="18"/>
                <w:szCs w:val="18"/>
              </w:rPr>
              <w:t xml:space="preserve">Other Building Systems</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sz w:val="18"/>
                <w:szCs w:val="18"/>
              </w:rPr>
              <w:t xml:space="preserve">20</w:t>
            </w:r>
          </w:p>
        </w:tc>
        <w:tc>
          <w:tcPr>
            <w:tcW w:type="dxa" w:w="23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right"/>
            </w:pPr>
            <w:r>
              <w:rPr>
                <w:rFonts w:ascii="Arial" w:cs="Arial" w:eastAsia="Arial" w:hAnsi="Arial"/>
                <w:sz w:val="18"/>
                <w:szCs w:val="18"/>
              </w:rPr>
              <w:t xml:space="preserve">$2,055,005</w:t>
            </w:r>
          </w:p>
        </w:tc>
        <w:tc>
          <w:tcPr>
            <w:tcW w:type="dxa" w:w="1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spacing w:before="50" w:after="50"/>
              <w:jc w:val="center"/>
            </w:pPr>
            <w:r>
              <w:rPr>
                <w:rFonts w:ascii="Arial" w:cs="Arial" w:eastAsia="Arial" w:hAnsi="Arial"/>
                <w:b/>
                <w:bCs/>
                <w:sz w:val="18"/>
                <w:szCs w:val="18"/>
              </w:rPr>
              <w:t xml:space="preserve">9.6%</w:t>
            </w:r>
          </w:p>
        </w:tc>
      </w:tr>
    </w:tbl>
    <w:p>
      <w:pPr>
        <w:spacing w:before="0" w:after="100"/>
      </w:pPr>
      <w:r>
        <w:rPr>
          <w:rFonts w:ascii="Arial" w:cs="Arial" w:eastAsia="Arial" w:hAnsi="Arial"/>
          <w:sz w:val="22"/>
          <w:szCs w:val="22"/>
        </w:rPr>
        <w:t xml:space="preserve"/>
      </w:r>
    </w:p>
    <w:p>
      <w:pPr>
        <w:spacing w:before="60" w:after="120"/>
        <w:jc w:val="both"/>
      </w:pPr>
      <w:r>
        <w:rPr>
          <w:rFonts w:ascii="Arial" w:cs="Arial" w:eastAsia="Arial" w:hAnsi="Arial"/>
          <w:sz w:val="22"/>
          <w:szCs w:val="22"/>
        </w:rPr>
        <w:t xml:space="preserve">Life Safety and Emergency Systems account for 62.8% of total plan spend, reflecting the volume of fire alarm, standpipe, emergency lighting, public address, and elevator systems across the Canadian portfolio assessed at Poor or Very Poor condition. Building Envelope items — principally the Mustafar Visitor Center exterior window replacement — account for a further 23.0%.</w:t>
      </w:r>
    </w:p>
    <w:p>
      <w:pPr>
        <w:spacing w:before="0" w:after="8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6.  Key Highlights by Year</w:t>
      </w:r>
    </w:p>
    <w:p>
      <w:pPr>
        <w:pStyle w:val="Heading2"/>
        <w:spacing w:before="200" w:after="80"/>
      </w:pPr>
      <w:r>
        <w:rPr>
          <w:rFonts w:ascii="Arial" w:cs="Arial" w:eastAsia="Arial" w:hAnsi="Arial"/>
          <w:b/>
          <w:bCs/>
          <w:color w:val="2F5496"/>
          <w:sz w:val="24"/>
          <w:szCs w:val="24"/>
        </w:rPr>
        <w:t xml:space="preserve">2026 — Immediate Life-Safety Response  ($4,998,242)</w:t>
      </w:r>
    </w:p>
    <w:p>
      <w:pPr>
        <w:pStyle w:val="ListParagraph"/>
        <w:numPr>
          <w:ilvl w:val="0"/>
          <w:numId w:val="2"/>
        </w:numPr>
        <w:spacing w:before="40" w:after="40"/>
      </w:pPr>
      <w:r>
        <w:rPr>
          <w:rFonts w:ascii="Arial" w:cs="Arial" w:eastAsia="Arial" w:hAnsi="Arial"/>
          <w:sz w:val="22"/>
          <w:szCs w:val="22"/>
        </w:rPr>
        <w:t xml:space="preserve">Fire alarm activation, notification devices, and wiring at Bespin Auditorium (Poor condition) — required for code compliance and emergency evacuation.</w:t>
      </w:r>
    </w:p>
    <w:p>
      <w:pPr>
        <w:pStyle w:val="ListParagraph"/>
        <w:numPr>
          <w:ilvl w:val="0"/>
          <w:numId w:val="2"/>
        </w:numPr>
        <w:spacing w:before="40" w:after="40"/>
      </w:pPr>
      <w:r>
        <w:rPr>
          <w:rFonts w:ascii="Arial" w:cs="Arial" w:eastAsia="Arial" w:hAnsi="Arial"/>
          <w:sz w:val="22"/>
          <w:szCs w:val="22"/>
        </w:rPr>
        <w:t xml:space="preserve">Public address and PA systems at Bespin Auditorium — dual-system replacement for emergency notification coverage.</w:t>
      </w:r>
    </w:p>
    <w:p>
      <w:pPr>
        <w:pStyle w:val="ListParagraph"/>
        <w:numPr>
          <w:ilvl w:val="0"/>
          <w:numId w:val="2"/>
        </w:numPr>
        <w:spacing w:before="40" w:after="40"/>
      </w:pPr>
      <w:r>
        <w:rPr>
          <w:rFonts w:ascii="Arial" w:cs="Arial" w:eastAsia="Arial" w:hAnsi="Arial"/>
          <w:sz w:val="22"/>
          <w:szCs w:val="22"/>
        </w:rPr>
        <w:t xml:space="preserve">Wet standpipe system (two components) at Bespin Auditorium — fire suppression infrastructure in Poor condition.</w:t>
      </w:r>
    </w:p>
    <w:p>
      <w:pPr>
        <w:pStyle w:val="ListParagraph"/>
        <w:numPr>
          <w:ilvl w:val="0"/>
          <w:numId w:val="2"/>
        </w:numPr>
        <w:spacing w:before="40" w:after="40"/>
      </w:pPr>
      <w:r>
        <w:rPr>
          <w:rFonts w:ascii="Arial" w:cs="Arial" w:eastAsia="Arial" w:hAnsi="Arial"/>
          <w:sz w:val="22"/>
          <w:szCs w:val="22"/>
        </w:rPr>
        <w:t xml:space="preserve">Exit signs at Humanities Fine Arts and emergency battery pack lighting at Kamino Student Centre.</w:t>
      </w:r>
    </w:p>
    <w:p>
      <w:pPr>
        <w:pStyle w:val="ListParagraph"/>
        <w:numPr>
          <w:ilvl w:val="0"/>
          <w:numId w:val="2"/>
        </w:numPr>
        <w:spacing w:before="40" w:after="40"/>
      </w:pPr>
      <w:r>
        <w:rPr>
          <w:rFonts w:ascii="Arial" w:cs="Arial" w:eastAsia="Arial" w:hAnsi="Arial"/>
          <w:sz w:val="22"/>
          <w:szCs w:val="22"/>
        </w:rPr>
        <w:t xml:space="preserve">Emergency eyewash and shower stations at Bespin Auditorium and Mayo Building — OSHA-required lab safety equipment.</w:t>
      </w:r>
    </w:p>
    <w:p>
      <w:pPr>
        <w:pStyle w:val="ListParagraph"/>
        <w:numPr>
          <w:ilvl w:val="0"/>
          <w:numId w:val="2"/>
        </w:numPr>
        <w:spacing w:before="40" w:after="40"/>
      </w:pPr>
      <w:r>
        <w:rPr>
          <w:rFonts w:ascii="Arial" w:cs="Arial" w:eastAsia="Arial" w:hAnsi="Arial"/>
          <w:sz w:val="22"/>
          <w:szCs w:val="22"/>
        </w:rPr>
        <w:t xml:space="preserve">Exterior concrete stairs at Humanities Fine Arts — fall hazard and accessibility compliance.</w:t>
      </w:r>
    </w:p>
    <w:p>
      <w:pPr>
        <w:pStyle w:val="ListParagraph"/>
        <w:numPr>
          <w:ilvl w:val="0"/>
          <w:numId w:val="2"/>
        </w:numPr>
        <w:spacing w:before="40" w:after="40"/>
      </w:pPr>
      <w:r>
        <w:rPr>
          <w:rFonts w:ascii="Arial" w:cs="Arial" w:eastAsia="Arial" w:hAnsi="Arial"/>
          <w:sz w:val="22"/>
          <w:szCs w:val="22"/>
        </w:rPr>
        <w:t xml:space="preserve">Boiler replacement (1982 and 1990 vintage) at Humanities Fine Arts — end-of-life mechanical life-safety support.</w:t>
      </w:r>
    </w:p>
    <w:p>
      <w:pPr>
        <w:spacing w:before="0" w:after="60"/>
      </w:pPr>
      <w:r>
        <w:rPr>
          <w:rFonts w:ascii="Arial" w:cs="Arial" w:eastAsia="Arial" w:hAnsi="Arial"/>
          <w:sz w:val="22"/>
          <w:szCs w:val="22"/>
        </w:rPr>
        <w:t xml:space="preserve"/>
      </w:r>
    </w:p>
    <w:p>
      <w:pPr>
        <w:pStyle w:val="Heading2"/>
        <w:spacing w:before="200" w:after="80"/>
      </w:pPr>
      <w:r>
        <w:rPr>
          <w:rFonts w:ascii="Arial" w:cs="Arial" w:eastAsia="Arial" w:hAnsi="Arial"/>
          <w:b/>
          <w:bCs/>
          <w:color w:val="2F5496"/>
          <w:sz w:val="24"/>
          <w:szCs w:val="24"/>
        </w:rPr>
        <w:t xml:space="preserve">2027 — Life-Safety Continuation and Critical Mechanical  ($4,986,659)</w:t>
      </w:r>
    </w:p>
    <w:p>
      <w:pPr>
        <w:pStyle w:val="ListParagraph"/>
        <w:numPr>
          <w:ilvl w:val="0"/>
          <w:numId w:val="2"/>
        </w:numPr>
        <w:spacing w:before="40" w:after="40"/>
      </w:pPr>
      <w:r>
        <w:rPr>
          <w:rFonts w:ascii="Arial" w:cs="Arial" w:eastAsia="Arial" w:hAnsi="Arial"/>
          <w:sz w:val="22"/>
          <w:szCs w:val="22"/>
        </w:rPr>
        <w:t xml:space="preserve">Fire alarm activation devices and wiring at Science Building — largest single life-safety expenditure ($2.7M combined), systems in Poor condition.</w:t>
      </w:r>
    </w:p>
    <w:p>
      <w:pPr>
        <w:pStyle w:val="ListParagraph"/>
        <w:numPr>
          <w:ilvl w:val="0"/>
          <w:numId w:val="2"/>
        </w:numPr>
        <w:spacing w:before="40" w:after="40"/>
      </w:pPr>
      <w:r>
        <w:rPr>
          <w:rFonts w:ascii="Arial" w:cs="Arial" w:eastAsia="Arial" w:hAnsi="Arial"/>
          <w:sz w:val="22"/>
          <w:szCs w:val="22"/>
        </w:rPr>
        <w:t xml:space="preserve">Hydraulic passenger elevator at Science Building (two components) — accessibility compliance and egress risk.</w:t>
      </w:r>
    </w:p>
    <w:p>
      <w:pPr>
        <w:pStyle w:val="ListParagraph"/>
        <w:numPr>
          <w:ilvl w:val="0"/>
          <w:numId w:val="2"/>
        </w:numPr>
        <w:spacing w:before="40" w:after="40"/>
      </w:pPr>
      <w:r>
        <w:rPr>
          <w:rFonts w:ascii="Arial" w:cs="Arial" w:eastAsia="Arial" w:hAnsi="Arial"/>
          <w:sz w:val="22"/>
          <w:szCs w:val="22"/>
        </w:rPr>
        <w:t xml:space="preserve">Emergency battery pack lighting at Lando Gym — required egress illumination on failure of primary power.</w:t>
      </w:r>
    </w:p>
    <w:p>
      <w:pPr>
        <w:pStyle w:val="ListParagraph"/>
        <w:numPr>
          <w:ilvl w:val="0"/>
          <w:numId w:val="2"/>
        </w:numPr>
        <w:spacing w:before="40" w:after="40"/>
      </w:pPr>
      <w:r>
        <w:rPr>
          <w:rFonts w:ascii="Arial" w:cs="Arial" w:eastAsia="Arial" w:hAnsi="Arial"/>
          <w:sz w:val="22"/>
          <w:szCs w:val="22"/>
        </w:rPr>
        <w:t xml:space="preserve">Emergency eyewash stations at Mayo Building — laboratory safety compliance.</w:t>
      </w:r>
    </w:p>
    <w:p>
      <w:pPr>
        <w:pStyle w:val="ListParagraph"/>
        <w:numPr>
          <w:ilvl w:val="0"/>
          <w:numId w:val="2"/>
        </w:numPr>
        <w:spacing w:before="40" w:after="40"/>
      </w:pPr>
      <w:r>
        <w:rPr>
          <w:rFonts w:ascii="Arial" w:cs="Arial" w:eastAsia="Arial" w:hAnsi="Arial"/>
          <w:sz w:val="22"/>
          <w:szCs w:val="22"/>
        </w:rPr>
        <w:t xml:space="preserve">Variable frequency drives for air handling units at Lando Gym — HVAC control system supporting ventilation in Poor condition.</w:t>
      </w:r>
    </w:p>
    <w:p>
      <w:pPr>
        <w:pStyle w:val="ListParagraph"/>
        <w:numPr>
          <w:ilvl w:val="0"/>
          <w:numId w:val="2"/>
        </w:numPr>
        <w:spacing w:before="40" w:after="40"/>
      </w:pPr>
      <w:r>
        <w:rPr>
          <w:rFonts w:ascii="Arial" w:cs="Arial" w:eastAsia="Arial" w:hAnsi="Arial"/>
          <w:sz w:val="22"/>
          <w:szCs w:val="22"/>
        </w:rPr>
        <w:t xml:space="preserve">Exterior automatic door operators at Mayo Building — accessibility compliance.</w:t>
      </w:r>
    </w:p>
    <w:p>
      <w:pPr>
        <w:spacing w:before="0" w:after="60"/>
      </w:pPr>
      <w:r>
        <w:rPr>
          <w:rFonts w:ascii="Arial" w:cs="Arial" w:eastAsia="Arial" w:hAnsi="Arial"/>
          <w:sz w:val="22"/>
          <w:szCs w:val="22"/>
        </w:rPr>
        <w:t xml:space="preserve"/>
      </w:r>
    </w:p>
    <w:p>
      <w:pPr>
        <w:pStyle w:val="Heading2"/>
        <w:spacing w:before="200" w:after="80"/>
      </w:pPr>
      <w:r>
        <w:rPr>
          <w:rFonts w:ascii="Arial" w:cs="Arial" w:eastAsia="Arial" w:hAnsi="Arial"/>
          <w:b/>
          <w:bCs/>
          <w:color w:val="2F5496"/>
          <w:sz w:val="24"/>
          <w:szCs w:val="24"/>
        </w:rPr>
        <w:t xml:space="preserve">2028 — Major Envelope Renewal  ($4,920,943)</w:t>
      </w:r>
    </w:p>
    <w:p>
      <w:pPr>
        <w:pStyle w:val="ListParagraph"/>
        <w:numPr>
          <w:ilvl w:val="0"/>
          <w:numId w:val="2"/>
        </w:numPr>
        <w:spacing w:before="40" w:after="40"/>
      </w:pPr>
      <w:r>
        <w:rPr>
          <w:rFonts w:ascii="Arial" w:cs="Arial" w:eastAsia="Arial" w:hAnsi="Arial"/>
          <w:sz w:val="22"/>
          <w:szCs w:val="22"/>
        </w:rPr>
        <w:t xml:space="preserve">Exterior windows at The Mustafar Visitor Center ($4.82M) — the single largest project in the plan. Full envelope replacement required to arrest moisture intrusion, energy loss, and accelerating interior system deterioration. Asset was assessed Fair condition; without intervention, condition will deteriorate to Poor within the planning horizon.</w:t>
      </w:r>
    </w:p>
    <w:p>
      <w:pPr>
        <w:pStyle w:val="ListParagraph"/>
        <w:numPr>
          <w:ilvl w:val="0"/>
          <w:numId w:val="2"/>
        </w:numPr>
        <w:spacing w:before="40" w:after="40"/>
      </w:pPr>
      <w:r>
        <w:rPr>
          <w:rFonts w:ascii="Arial" w:cs="Arial" w:eastAsia="Arial" w:hAnsi="Arial"/>
          <w:sz w:val="22"/>
          <w:szCs w:val="22"/>
        </w:rPr>
        <w:t xml:space="preserve">Fixed casework and kitchen cabinets at Humanities Fine Arts and carpet tile at Lando Gym — interior finishes at end of useful life.</w:t>
      </w:r>
    </w:p>
    <w:p>
      <w:pPr>
        <w:spacing w:before="0" w:after="60"/>
      </w:pPr>
      <w:r>
        <w:rPr>
          <w:rFonts w:ascii="Arial" w:cs="Arial" w:eastAsia="Arial" w:hAnsi="Arial"/>
          <w:sz w:val="22"/>
          <w:szCs w:val="22"/>
        </w:rPr>
        <w:t xml:space="preserve"/>
      </w:r>
    </w:p>
    <w:p>
      <w:pPr>
        <w:pStyle w:val="Heading2"/>
        <w:spacing w:before="200" w:after="80"/>
      </w:pPr>
      <w:r>
        <w:rPr>
          <w:rFonts w:ascii="Arial" w:cs="Arial" w:eastAsia="Arial" w:hAnsi="Arial"/>
          <w:b/>
          <w:bCs/>
          <w:color w:val="2F5496"/>
          <w:sz w:val="24"/>
          <w:szCs w:val="24"/>
        </w:rPr>
        <w:t xml:space="preserve">2029 — Security and Partial Budget Year  ($1,541,416)</w:t>
      </w:r>
    </w:p>
    <w:p>
      <w:pPr>
        <w:pStyle w:val="ListParagraph"/>
        <w:numPr>
          <w:ilvl w:val="0"/>
          <w:numId w:val="2"/>
        </w:numPr>
        <w:spacing w:before="40" w:after="40"/>
      </w:pPr>
      <w:r>
        <w:rPr>
          <w:rFonts w:ascii="Arial" w:cs="Arial" w:eastAsia="Arial" w:hAnsi="Arial"/>
          <w:sz w:val="22"/>
          <w:szCs w:val="22"/>
        </w:rPr>
        <w:t xml:space="preserve">Security card access system at Science Building (Canada) — campus-wide upgrade to access control infrastructure in Fair condition.</w:t>
      </w:r>
    </w:p>
    <w:p>
      <w:pPr>
        <w:pStyle w:val="ListParagraph"/>
        <w:numPr>
          <w:ilvl w:val="0"/>
          <w:numId w:val="2"/>
        </w:numPr>
        <w:spacing w:before="40" w:after="40"/>
      </w:pPr>
      <w:r>
        <w:rPr>
          <w:rFonts w:ascii="Arial" w:cs="Arial" w:eastAsia="Arial" w:hAnsi="Arial"/>
          <w:sz w:val="22"/>
          <w:szCs w:val="22"/>
        </w:rPr>
        <w:t xml:space="preserve">Wet standpipe system (third component) at Bespin Auditorium — completing the fire suppression renewal begun in 2026.</w:t>
      </w:r>
    </w:p>
    <w:p>
      <w:pPr>
        <w:pStyle w:val="ListParagraph"/>
        <w:numPr>
          <w:ilvl w:val="0"/>
          <w:numId w:val="2"/>
        </w:numPr>
        <w:spacing w:before="40" w:after="40"/>
      </w:pPr>
      <w:r>
        <w:rPr>
          <w:rFonts w:ascii="Arial" w:cs="Arial" w:eastAsia="Arial" w:hAnsi="Arial"/>
          <w:sz w:val="22"/>
          <w:szCs w:val="22"/>
        </w:rPr>
        <w:t xml:space="preserve">Science stores A/C at Humanities Fine Arts — mechanical support for controlled-environment storage.</w:t>
      </w:r>
    </w:p>
    <w:p>
      <w:pPr>
        <w:pStyle w:val="ListParagraph"/>
        <w:numPr>
          <w:ilvl w:val="0"/>
          <w:numId w:val="2"/>
        </w:numPr>
        <w:spacing w:before="40" w:after="40"/>
      </w:pPr>
      <w:r>
        <w:rPr>
          <w:rFonts w:ascii="Arial" w:cs="Arial" w:eastAsia="Arial" w:hAnsi="Arial"/>
          <w:sz w:val="22"/>
          <w:szCs w:val="22"/>
        </w:rPr>
        <w:t xml:space="preserve">Acoustic tile ceilings at Lando Gym — interior finishes in Fair condition approaching end of life.</w:t>
      </w:r>
    </w:p>
    <w:p>
      <w:pPr>
        <w:spacing w:before="60" w:after="60"/>
      </w:pPr>
      <w:r>
        <w:rPr>
          <w:rFonts w:ascii="Arial" w:cs="Arial" w:eastAsia="Arial" w:hAnsi="Arial"/>
          <w:b/>
          <w:bCs/>
          <w:color w:val="C55A11"/>
          <w:sz w:val="20"/>
          <w:szCs w:val="20"/>
        </w:rPr>
        <w:t xml:space="preserve">Note: </w:t>
      </w:r>
      <w:r>
        <w:rPr>
          <w:rFonts w:ascii="Arial" w:cs="Arial" w:eastAsia="Arial" w:hAnsi="Arial"/>
          <w:color w:val="595959"/>
          <w:sz w:val="20"/>
          <w:szCs w:val="20"/>
        </w:rPr>
        <w:t xml:space="preserve">$3.46M of the 2029 budget envelope is unallocated. Management recommends pulling forward priority items from 2030 to optimize annual deployment.</w:t>
      </w:r>
    </w:p>
    <w:p>
      <w:pPr>
        <w:spacing w:before="0" w:after="60"/>
      </w:pPr>
      <w:r>
        <w:rPr>
          <w:rFonts w:ascii="Arial" w:cs="Arial" w:eastAsia="Arial" w:hAnsi="Arial"/>
          <w:sz w:val="22"/>
          <w:szCs w:val="22"/>
        </w:rPr>
        <w:t xml:space="preserve"/>
      </w:r>
    </w:p>
    <w:p>
      <w:pPr>
        <w:pStyle w:val="Heading2"/>
        <w:spacing w:before="200" w:after="80"/>
      </w:pPr>
      <w:r>
        <w:rPr>
          <w:rFonts w:ascii="Arial" w:cs="Arial" w:eastAsia="Arial" w:hAnsi="Arial"/>
          <w:b/>
          <w:bCs/>
          <w:color w:val="2F5496"/>
          <w:sz w:val="24"/>
          <w:szCs w:val="24"/>
        </w:rPr>
        <w:t xml:space="preserve">2030 — Security and Remaining Life-Safety  ($4,952,781)</w:t>
      </w:r>
    </w:p>
    <w:p>
      <w:pPr>
        <w:pStyle w:val="ListParagraph"/>
        <w:numPr>
          <w:ilvl w:val="0"/>
          <w:numId w:val="2"/>
        </w:numPr>
        <w:spacing w:before="40" w:after="40"/>
      </w:pPr>
      <w:r>
        <w:rPr>
          <w:rFonts w:ascii="Arial" w:cs="Arial" w:eastAsia="Arial" w:hAnsi="Arial"/>
          <w:sz w:val="22"/>
          <w:szCs w:val="22"/>
        </w:rPr>
        <w:t xml:space="preserve">Emergency battery pack lighting at Mayo Building (two systems) — egress compliance.</w:t>
      </w:r>
    </w:p>
    <w:p>
      <w:pPr>
        <w:pStyle w:val="ListParagraph"/>
        <w:numPr>
          <w:ilvl w:val="0"/>
          <w:numId w:val="2"/>
        </w:numPr>
        <w:spacing w:before="40" w:after="40"/>
      </w:pPr>
      <w:r>
        <w:rPr>
          <w:rFonts w:ascii="Arial" w:cs="Arial" w:eastAsia="Arial" w:hAnsi="Arial"/>
          <w:sz w:val="22"/>
          <w:szCs w:val="22"/>
        </w:rPr>
        <w:t xml:space="preserve">Security and intrusion detection systems across multiple assets — campus security infrastructure renewal.</w:t>
      </w:r>
    </w:p>
    <w:p>
      <w:pPr>
        <w:pStyle w:val="ListParagraph"/>
        <w:numPr>
          <w:ilvl w:val="0"/>
          <w:numId w:val="2"/>
        </w:numPr>
        <w:spacing w:before="40" w:after="40"/>
      </w:pPr>
      <w:r>
        <w:rPr>
          <w:rFonts w:ascii="Arial" w:cs="Arial" w:eastAsia="Arial" w:hAnsi="Arial"/>
          <w:sz w:val="22"/>
          <w:szCs w:val="22"/>
        </w:rPr>
        <w:t xml:space="preserve">Humidity control and HVAC support equipment across the portfolio — mechanical systems supporting building environmental controls.</w:t>
      </w:r>
    </w:p>
    <w:p>
      <w:pPr>
        <w:pStyle w:val="ListParagraph"/>
        <w:numPr>
          <w:ilvl w:val="0"/>
          <w:numId w:val="2"/>
        </w:numPr>
        <w:spacing w:before="40" w:after="40"/>
      </w:pPr>
      <w:r>
        <w:rPr>
          <w:rFonts w:ascii="Arial" w:cs="Arial" w:eastAsia="Arial" w:hAnsi="Arial"/>
          <w:sz w:val="22"/>
          <w:szCs w:val="22"/>
        </w:rPr>
        <w:t xml:space="preserve">Water heaters, exhaust fans, and remaining mechanical items reaching end of useful life within the planning horizon.</w:t>
      </w:r>
    </w:p>
    <w:p>
      <w:pPr>
        <w:spacing w:before="0" w:after="12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7.  Questions for Board Discussion</w:t>
      </w:r>
    </w:p>
    <w:p>
      <w:pPr>
        <w:spacing w:before="60" w:after="120"/>
        <w:jc w:val="both"/>
      </w:pPr>
      <w:r>
        <w:rPr>
          <w:rFonts w:ascii="Arial" w:cs="Arial" w:eastAsia="Arial" w:hAnsi="Arial"/>
          <w:sz w:val="22"/>
          <w:szCs w:val="22"/>
        </w:rPr>
        <w:t xml:space="preserve">Management recommends the Board consider the following questions in the context of this briefing and the accompanying capital plan workbook:</w:t>
      </w:r>
    </w:p>
    <w:p>
      <w:pPr>
        <w:spacing w:before="0" w:after="40"/>
      </w:pPr>
      <w:r>
        <w:rPr>
          <w:rFonts w:ascii="Arial" w:cs="Arial" w:eastAsia="Arial" w:hAnsi="Arial"/>
          <w:sz w:val="22"/>
          <w:szCs w:val="22"/>
        </w:rPr>
        <w:t xml:space="preserve"/>
      </w:r>
    </w:p>
    <w:p>
      <w:pPr>
        <w:pStyle w:val="ListParagraph"/>
        <w:numPr>
          <w:ilvl w:val="0"/>
          <w:numId w:val="2"/>
        </w:numPr>
        <w:spacing w:before="40" w:after="40"/>
      </w:pPr>
      <w:r>
        <w:rPr>
          <w:rFonts w:ascii="Arial" w:cs="Arial" w:eastAsia="Arial" w:hAnsi="Arial"/>
          <w:b/>
          <w:bCs/>
          <w:sz w:val="22"/>
          <w:szCs w:val="22"/>
        </w:rPr>
        <w:t xml:space="preserve">Annual budget adequacy:  </w:t>
      </w:r>
      <w:r>
        <w:rPr>
          <w:rFonts w:ascii="Arial" w:cs="Arial" w:eastAsia="Arial" w:hAnsi="Arial"/>
          <w:sz w:val="22"/>
          <w:szCs w:val="22"/>
        </w:rPr>
        <w:t xml:space="preserve">Given the combined portfolio FCI of 30.3% and a $452M total 5-year need, does the Board wish to explore an increased annual capital envelope or a one-time supplemental allocation — targeted at the Canadian portfolio in particular?</w:t>
      </w:r>
    </w:p>
    <w:p>
      <w:pPr>
        <w:pStyle w:val="ListParagraph"/>
        <w:numPr>
          <w:ilvl w:val="0"/>
          <w:numId w:val="2"/>
        </w:numPr>
        <w:spacing w:before="40" w:after="40"/>
      </w:pPr>
      <w:r>
        <w:rPr>
          <w:rFonts w:ascii="Arial" w:cs="Arial" w:eastAsia="Arial" w:hAnsi="Arial"/>
          <w:b/>
          <w:bCs/>
          <w:sz w:val="22"/>
          <w:szCs w:val="22"/>
        </w:rPr>
        <w:t xml:space="preserve">Deferred risk tolerance:  </w:t>
      </w:r>
      <w:r>
        <w:rPr>
          <w:rFonts w:ascii="Arial" w:cs="Arial" w:eastAsia="Arial" w:hAnsi="Arial"/>
          <w:sz w:val="22"/>
          <w:szCs w:val="22"/>
        </w:rPr>
        <w:t xml:space="preserve">The Deferred Risk Register includes life-safety items that cannot be funded within the $5M constraint. Does the Board wish to direct management to identify supplemental funding sources for these specific items?</w:t>
      </w:r>
    </w:p>
    <w:p>
      <w:pPr>
        <w:pStyle w:val="ListParagraph"/>
        <w:numPr>
          <w:ilvl w:val="0"/>
          <w:numId w:val="2"/>
        </w:numPr>
        <w:spacing w:before="40" w:after="40"/>
      </w:pPr>
      <w:r>
        <w:rPr>
          <w:rFonts w:ascii="Arial" w:cs="Arial" w:eastAsia="Arial" w:hAnsi="Arial"/>
          <w:b/>
          <w:bCs/>
          <w:sz w:val="22"/>
          <w:szCs w:val="22"/>
        </w:rPr>
        <w:t xml:space="preserve">2029 reallocation:  </w:t>
      </w:r>
      <w:r>
        <w:rPr>
          <w:rFonts w:ascii="Arial" w:cs="Arial" w:eastAsia="Arial" w:hAnsi="Arial"/>
          <w:sz w:val="22"/>
          <w:szCs w:val="22"/>
        </w:rPr>
        <w:t xml:space="preserve">Management proposes to pull forward high-priority 2030 recommendations into the 2029 budget year to fully deploy the $3.46M under-allocation. Does the Board endorse this approach?</w:t>
      </w:r>
    </w:p>
    <w:p>
      <w:pPr>
        <w:pStyle w:val="ListParagraph"/>
        <w:numPr>
          <w:ilvl w:val="0"/>
          <w:numId w:val="2"/>
        </w:numPr>
        <w:spacing w:before="40" w:after="40"/>
      </w:pPr>
      <w:r>
        <w:rPr>
          <w:rFonts w:ascii="Arial" w:cs="Arial" w:eastAsia="Arial" w:hAnsi="Arial"/>
          <w:b/>
          <w:bCs/>
          <w:sz w:val="22"/>
          <w:szCs w:val="22"/>
        </w:rPr>
        <w:t xml:space="preserve">Canadian portfolio trajectory:  </w:t>
      </w:r>
      <w:r>
        <w:rPr>
          <w:rFonts w:ascii="Arial" w:cs="Arial" w:eastAsia="Arial" w:hAnsi="Arial"/>
          <w:sz w:val="22"/>
          <w:szCs w:val="22"/>
        </w:rPr>
        <w:t xml:space="preserve">With a 43.5% FCI, the Canadian portfolio is in the “Poor” band. Does the Board wish to establish a target FCI and a multi-year investment strategy to achieve it?</w:t>
      </w:r>
    </w:p>
    <w:p>
      <w:pPr>
        <w:pStyle w:val="ListParagraph"/>
        <w:numPr>
          <w:ilvl w:val="0"/>
          <w:numId w:val="2"/>
        </w:numPr>
        <w:spacing w:before="40" w:after="40"/>
      </w:pPr>
      <w:r>
        <w:rPr>
          <w:rFonts w:ascii="Arial" w:cs="Arial" w:eastAsia="Arial" w:hAnsi="Arial"/>
          <w:b/>
          <w:bCs/>
          <w:sz w:val="22"/>
          <w:szCs w:val="22"/>
        </w:rPr>
        <w:t xml:space="preserve">Reporting cadence:  </w:t>
      </w:r>
      <w:r>
        <w:rPr>
          <w:rFonts w:ascii="Arial" w:cs="Arial" w:eastAsia="Arial" w:hAnsi="Arial"/>
          <w:sz w:val="22"/>
          <w:szCs w:val="22"/>
        </w:rPr>
        <w:t xml:space="preserve">Management proposes quarterly capital plan progress reports to the Board. Is this frequency acceptable, or would an alternative cadence be preferred?</w:t>
      </w:r>
    </w:p>
    <w:p>
      <w:pPr>
        <w:spacing w:before="0" w:after="120"/>
      </w:pPr>
      <w:r>
        <w:rPr>
          <w:rFonts w:ascii="Arial" w:cs="Arial" w:eastAsia="Arial" w:hAnsi="Arial"/>
          <w:sz w:val="22"/>
          <w:szCs w:val="22"/>
        </w:rPr>
        <w:t xml:space="preserve"/>
      </w:r>
    </w:p>
    <w:p>
      <w:pPr>
        <w:pStyle w:val="Heading1"/>
        <w:pBdr>
          <w:bottom w:val="single" w:color="1F3864" w:sz="8" w:space="4"/>
        </w:pBdr>
        <w:spacing w:before="240" w:after="120"/>
      </w:pPr>
      <w:r>
        <w:rPr>
          <w:rFonts w:ascii="Arial" w:cs="Arial" w:eastAsia="Arial" w:hAnsi="Arial"/>
          <w:b/>
          <w:bCs/>
          <w:color w:val="1F3864"/>
          <w:sz w:val="28"/>
          <w:szCs w:val="28"/>
        </w:rPr>
        <w:t xml:space="preserve">8.  Supporting Materials</w:t>
      </w:r>
    </w:p>
    <w:p>
      <w:pPr>
        <w:spacing w:before="60" w:after="120"/>
        <w:jc w:val="both"/>
      </w:pPr>
      <w:r>
        <w:rPr>
          <w:rFonts w:ascii="Arial" w:cs="Arial" w:eastAsia="Arial" w:hAnsi="Arial"/>
          <w:sz w:val="22"/>
          <w:szCs w:val="22"/>
        </w:rPr>
        <w:t xml:space="preserve">The following documents accompany this briefing and are available for Board review prior to and during the presentation:</w:t>
      </w:r>
    </w:p>
    <w:p>
      <w:pPr>
        <w:spacing w:before="0" w:after="40"/>
      </w:pPr>
      <w:r>
        <w:rPr>
          <w:rFonts w:ascii="Arial" w:cs="Arial" w:eastAsia="Arial" w:hAnsi="Arial"/>
          <w:sz w:val="22"/>
          <w:szCs w:val="22"/>
        </w:rPr>
        <w:t xml:space="preserve"/>
      </w:r>
    </w:p>
    <w:p>
      <w:pPr>
        <w:pStyle w:val="ListParagraph"/>
        <w:numPr>
          <w:ilvl w:val="0"/>
          <w:numId w:val="2"/>
        </w:numPr>
        <w:spacing w:before="40" w:after="40"/>
      </w:pPr>
      <w:r>
        <w:rPr>
          <w:rFonts w:ascii="Arial" w:cs="Arial" w:eastAsia="Arial" w:hAnsi="Arial"/>
          <w:b/>
          <w:bCs/>
          <w:sz w:val="22"/>
          <w:szCs w:val="22"/>
        </w:rPr>
        <w:t xml:space="preserve">Roth_IAMS_Board_Consolidated_Portfolio_2026.xlsx  </w:t>
      </w:r>
      <w:r>
        <w:rPr>
          <w:rFonts w:ascii="Arial" w:cs="Arial" w:eastAsia="Arial" w:hAnsi="Arial"/>
          <w:sz w:val="22"/>
          <w:szCs w:val="22"/>
        </w:rPr>
        <w:t xml:space="preserve">Consolidated portfolio workbook — all assets, all recommendations, and capital expenditure by year across both portfolios (7 tabs).</w:t>
      </w:r>
    </w:p>
    <w:p>
      <w:pPr>
        <w:pStyle w:val="ListParagraph"/>
        <w:numPr>
          <w:ilvl w:val="0"/>
          <w:numId w:val="2"/>
        </w:numPr>
        <w:spacing w:before="40" w:after="40"/>
      </w:pPr>
      <w:r>
        <w:rPr>
          <w:rFonts w:ascii="Arial" w:cs="Arial" w:eastAsia="Arial" w:hAnsi="Arial"/>
          <w:b/>
          <w:bCs/>
          <w:sz w:val="22"/>
          <w:szCs w:val="22"/>
        </w:rPr>
        <w:t xml:space="preserve">Roth_IAMS_5Year_Capital_Plan_2026–2030.xlsx  </w:t>
      </w:r>
      <w:r>
        <w:rPr>
          <w:rFonts w:ascii="Arial" w:cs="Arial" w:eastAsia="Arial" w:hAnsi="Arial"/>
          <w:sz w:val="22"/>
          <w:szCs w:val="22"/>
        </w:rPr>
        <w:t xml:space="preserve">5-Year Capital Plan workbook — Executive Summary dashboard, detailed project list with individual selection rationale, and Deferred Risk Register (3 tabs).</w:t>
      </w:r>
    </w:p>
    <w:p>
      <w:pPr>
        <w:spacing w:before="0" w:after="16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3864" w:sz="6"/>
              <w:left w:val="none" w:color="FFFFFF" w:sz="0"/>
              <w:bottom w:val="none" w:color="FFFFFF" w:sz="0"/>
              <w:right w:val="none" w:color="FFFFFF" w:sz="0"/>
            </w:tcBorders>
            <w:shd w:fill="F0F4F8" w:val="clear"/>
            <w:tcMar>
              <w:top w:type="dxa" w:w="80"/>
              <w:left w:type="dxa" w:w="120"/>
              <w:bottom w:type="dxa" w:w="80"/>
              <w:right w:type="dxa" w:w="120"/>
            </w:tcMar>
          </w:tcPr>
          <w:p>
            <w:pPr>
              <w:spacing w:before="80" w:after="20"/>
            </w:pPr>
            <w:r>
              <w:rPr>
                <w:rFonts w:ascii="Arial" w:cs="Arial" w:eastAsia="Arial" w:hAnsi="Arial"/>
                <w:b/>
                <w:bCs/>
                <w:color w:val="1F3864"/>
                <w:sz w:val="20"/>
                <w:szCs w:val="20"/>
              </w:rPr>
              <w:t xml:space="preserve">Prepared by Roth IAMS Management</w:t>
            </w:r>
          </w:p>
          <w:p>
            <w:pPr>
              <w:spacing w:before="0" w:after="20"/>
            </w:pPr>
            <w:r>
              <w:rPr>
                <w:rFonts w:ascii="Arial" w:cs="Arial" w:eastAsia="Arial" w:hAnsi="Arial"/>
                <w:color w:val="595959"/>
                <w:sz w:val="18"/>
                <w:szCs w:val="18"/>
              </w:rPr>
              <w:t xml:space="preserve">Facility Asset Management  |  SLAM Platform Analytics  |  March 2026</w:t>
            </w:r>
          </w:p>
          <w:p>
            <w:pPr>
              <w:spacing w:before="0" w:after="60"/>
            </w:pPr>
            <w:r>
              <w:rPr>
                <w:rFonts w:ascii="Arial" w:cs="Arial" w:eastAsia="Arial" w:hAnsi="Arial"/>
                <w:color w:val="AAAAAA"/>
                <w:sz w:val="16"/>
                <w:szCs w:val="16"/>
              </w:rPr>
              <w:t xml:space="preserve">Confidential — For Board Use Only. Not for distribution.</w:t>
            </w:r>
          </w:p>
        </w:tc>
      </w:tr>
    </w:tbl>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1F3864" w:sz="4"/>
        <w:left w:val="none" w:color="FFFFFF" w:sz="0"/>
        <w:bottom w:val="none" w:color="FFFFFF" w:sz="0"/>
        <w:right w:val="none" w:color="FFFFFF" w:sz="0"/>
        <w:insideH w:val="single" w:color="auto" w:sz="4"/>
        <w:insideV w:val="single" w:color="auto" w:sz="4"/>
      </w:tblBorders>
    </w:tblPr>
    <w:tblGrid>
      <w:gridCol w:w="6360"/>
      <w:gridCol w:w="3000"/>
    </w:tblGrid>
    <w:tr>
      <w:tc>
        <w:tcPr>
          <w:tcW w:type="dxa" w:w="6360"/>
          <w:tcBorders>
            <w:top w:val="none" w:color="FFFFFF" w:sz="0"/>
            <w:left w:val="none" w:color="FFFFFF" w:sz="0"/>
            <w:bottom w:val="none" w:color="FFFFFF" w:sz="0"/>
            <w:right w:val="none" w:color="FFFFFF" w:sz="0"/>
          </w:tcBorders>
          <w:tcMar>
            <w:top w:type="dxa" w:w="80"/>
            <w:left w:type="dxa" w:w="120"/>
            <w:bottom w:type="dxa" w:w="80"/>
            <w:right w:type="dxa" w:w="120"/>
          </w:tcMar>
        </w:tcPr>
        <w:p>
          <w:pPr>
            <w:spacing w:before="60" w:after="100"/>
          </w:pPr>
          <w:r>
            <w:rPr>
              <w:rFonts w:ascii="Arial" w:cs="Arial" w:eastAsia="Arial" w:hAnsi="Arial"/>
              <w:color w:val="595959"/>
              <w:sz w:val="16"/>
              <w:szCs w:val="16"/>
            </w:rPr>
            <w:t xml:space="preserve">5-Year Risk-Based Capital Plan — Board Executive Briefing</w:t>
          </w:r>
        </w:p>
      </w:tc>
      <w:tc>
        <w:tcPr>
          <w:tcW w:type="dxa" w:w="3000"/>
          <w:tcBorders>
            <w:top w:val="none" w:color="FFFFFF" w:sz="0"/>
            <w:left w:val="none" w:color="FFFFFF" w:sz="0"/>
            <w:bottom w:val="none" w:color="FFFFFF" w:sz="0"/>
            <w:right w:val="none" w:color="FFFFFF" w:sz="0"/>
          </w:tcBorders>
          <w:tcMar>
            <w:top w:type="dxa" w:w="80"/>
            <w:left w:type="dxa" w:w="120"/>
            <w:bottom w:type="dxa" w:w="80"/>
            <w:right w:type="dxa" w:w="120"/>
          </w:tcMar>
        </w:tcPr>
        <w:p>
          <w:pPr>
            <w:spacing w:before="60" w:after="100"/>
            <w:jc w:val="right"/>
          </w:pPr>
          <w:r>
            <w:rPr>
              <w:rFonts w:ascii="Arial" w:cs="Arial" w:eastAsia="Arial" w:hAnsi="Arial"/>
              <w:color w:val="595959"/>
              <w:sz w:val="16"/>
              <w:szCs w:val="16"/>
            </w:rPr>
            <w:t xml:space="preserve">Roth IAMS | Confidential</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none" w:color="FFFFFF" w:sz="0"/>
        <w:left w:val="none" w:color="FFFFFF" w:sz="0"/>
        <w:bottom w:val="single" w:color="1F3864" w:sz="4"/>
        <w:right w:val="none" w:color="FFFFFF" w:sz="0"/>
        <w:insideH w:val="single" w:color="auto" w:sz="4"/>
        <w:insideV w:val="single" w:color="auto" w:sz="4"/>
      </w:tblBorders>
    </w:tblPr>
    <w:tblGrid>
      <w:gridCol w:w="5760"/>
      <w:gridCol w:w="3600"/>
    </w:tblGrid>
    <w:tr>
      <w:tc>
        <w:tcPr>
          <w:tcW w:type="dxa" w:w="5760"/>
          <w:tcBorders>
            <w:top w:val="none" w:color="FFFFFF" w:sz="0"/>
            <w:left w:val="none" w:color="FFFFFF" w:sz="0"/>
            <w:bottom w:val="none" w:color="FFFFFF" w:sz="0"/>
            <w:right w:val="none" w:color="FFFFFF" w:sz="0"/>
          </w:tcBorders>
          <w:tcMar>
            <w:top w:type="dxa" w:w="80"/>
            <w:left w:type="dxa" w:w="120"/>
            <w:bottom w:type="dxa" w:w="80"/>
            <w:right w:type="dxa" w:w="120"/>
          </w:tcMar>
        </w:tcPr>
        <w:p>
          <w:pPr>
            <w:spacing w:before="0" w:after="60"/>
          </w:pPr>
          <w:r>
            <w:rPr>
              <w:rFonts w:ascii="Arial" w:cs="Arial" w:eastAsia="Arial" w:hAnsi="Arial"/>
              <w:b/>
              <w:bCs/>
              <w:color w:val="1F3864"/>
              <w:sz w:val="22"/>
              <w:szCs w:val="22"/>
            </w:rPr>
            <w:t xml:space="preserve">Roth IAMS</w:t>
          </w:r>
          <w:r>
            <w:rPr>
              <w:rFonts w:ascii="Arial" w:cs="Arial" w:eastAsia="Arial" w:hAnsi="Arial"/>
              <w:color w:val="595959"/>
              <w:sz w:val="18"/>
              <w:szCs w:val="18"/>
            </w:rPr>
            <w:t xml:space="preserve">  |  Confidential — For Board Use Only</w:t>
          </w:r>
        </w:p>
      </w:tc>
      <w:tc>
        <w:tcPr>
          <w:tcW w:type="dxa" w:w="3600"/>
          <w:tcBorders>
            <w:top w:val="none" w:color="FFFFFF" w:sz="0"/>
            <w:left w:val="none" w:color="FFFFFF" w:sz="0"/>
            <w:bottom w:val="none" w:color="FFFFFF" w:sz="0"/>
            <w:right w:val="none" w:color="FFFFFF" w:sz="0"/>
          </w:tcBorders>
          <w:tcMar>
            <w:top w:type="dxa" w:w="80"/>
            <w:left w:type="dxa" w:w="120"/>
            <w:bottom w:type="dxa" w:w="80"/>
            <w:right w:type="dxa" w:w="120"/>
          </w:tcMar>
        </w:tcPr>
        <w:p>
          <w:pPr>
            <w:spacing w:before="0" w:after="60"/>
            <w:jc w:val="right"/>
          </w:pPr>
          <w:r>
            <w:rPr>
              <w:rFonts w:ascii="Arial" w:cs="Arial" w:eastAsia="Arial" w:hAnsi="Arial"/>
              <w:color w:val="595959"/>
              <w:sz w:val="18"/>
              <w:szCs w:val="18"/>
            </w:rPr>
            <w:t xml:space="preserve">March 2026</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rPr>
        <w:rFonts w:ascii="Arial" w:cs="Arial" w:eastAsia="Arial" w:hAnsi="Arial"/>
      </w:rPr>
    </w:lvl>
  </w:abstractNum>
  <w:abstractNum w:abstractNumId="3" w15:restartNumberingAfterBreak="0">
    <w:multiLevelType w:val="hybridMultilevel"/>
    <w:lvl w:ilvl="0" w15:tentative="1">
      <w:start w:val="1"/>
      <w:numFmt w:val="bullet"/>
      <w:lvlText w:val="–"/>
      <w:lvlJc w:val="left"/>
      <w:pPr>
        <w:ind w:left="900" w:hanging="280"/>
      </w:pPr>
      <w:rPr>
        <w:rFonts w:ascii="Arial" w:cs="Arial" w:eastAsia="Arial" w:hAnsi="Arial"/>
        <w:color w:val="595959"/>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40" w:after="120"/>
      <w:outlineLvl w:val="0"/>
    </w:pPr>
    <w:rPr>
      <w:rFonts w:ascii="Arial" w:cs="Arial" w:eastAsia="Arial" w:hAnsi="Arial"/>
      <w:b/>
      <w:bCs/>
      <w:color w:val="1F3864"/>
      <w:sz w:val="28"/>
      <w:szCs w:val="28"/>
    </w:rPr>
  </w:style>
  <w:style w:type="paragraph" w:styleId="Heading2">
    <w:name w:val="Heading 2"/>
    <w:basedOn w:val="Normal"/>
    <w:next w:val="Normal"/>
    <w:qFormat/>
    <w:pPr>
      <w:spacing w:before="200" w:after="80"/>
      <w:outlineLvl w:val="1"/>
    </w:pPr>
    <w:rPr>
      <w:rFonts w:ascii="Arial" w:cs="Arial" w:eastAsia="Arial" w:hAnsi="Arial"/>
      <w:b/>
      <w:bCs/>
      <w:color w:val="2F5496"/>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footnotes" Target="footnot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6838DC798B74DBBEFD80FCCD0F0FF" ma:contentTypeVersion="19" ma:contentTypeDescription="Create a new document." ma:contentTypeScope="" ma:versionID="da926c808b2782a17e61800cdef89c2d">
  <xsd:schema xmlns:xsd="http://www.w3.org/2001/XMLSchema" xmlns:xs="http://www.w3.org/2001/XMLSchema" xmlns:p="http://schemas.microsoft.com/office/2006/metadata/properties" xmlns:ns2="c1ea63b3-9754-4ac1-a34e-acc71cd0637b" xmlns:ns3="ec28a48b-220e-4f39-b371-4ce9b5e3a58e" targetNamespace="http://schemas.microsoft.com/office/2006/metadata/properties" ma:root="true" ma:fieldsID="59a038af975eeccfe7af8deb55b47a32" ns2:_="" ns3:_="">
    <xsd:import namespace="c1ea63b3-9754-4ac1-a34e-acc71cd0637b"/>
    <xsd:import namespace="ec28a48b-220e-4f39-b371-4ce9b5e3a5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a63b3-9754-4ac1-a34e-acc71cd06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7cb1c06-9dc9-4990-8264-9d2687615e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8a48b-220e-4f39-b371-4ce9b5e3a5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ffb63a-d545-4ff4-ad46-27f47f82809b}" ma:internalName="TaxCatchAll" ma:showField="CatchAllData" ma:web="ec28a48b-220e-4f39-b371-4ce9b5e3a5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ea63b3-9754-4ac1-a34e-acc71cd0637b">
      <Terms xmlns="http://schemas.microsoft.com/office/infopath/2007/PartnerControls"/>
    </lcf76f155ced4ddcb4097134ff3c332f>
    <TaxCatchAll xmlns="ec28a48b-220e-4f39-b371-4ce9b5e3a58e" xsi:nil="true"/>
  </documentManagement>
</p:properties>
</file>

<file path=customXml/itemProps1.xml><?xml version="1.0" encoding="utf-8"?>
<ds:datastoreItem xmlns:ds="http://schemas.openxmlformats.org/officeDocument/2006/customXml" ds:itemID="{A5290160-566B-4995-A45F-1BC37A5F922C}"/>
</file>

<file path=customXml/itemProps2.xml><?xml version="1.0" encoding="utf-8"?>
<ds:datastoreItem xmlns:ds="http://schemas.openxmlformats.org/officeDocument/2006/customXml" ds:itemID="{0E3526EF-26FC-4EA9-B47D-B90BED16B73A}"/>
</file>

<file path=customXml/itemProps3.xml><?xml version="1.0" encoding="utf-8"?>
<ds:datastoreItem xmlns:ds="http://schemas.openxmlformats.org/officeDocument/2006/customXml" ds:itemID="{72D566DD-BFD5-46B7-9D60-ECB8931DF0E6}"/>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2026-03-24T17:08:15Z</dcterms:created>
  <dcterms:modified xsi:type="dcterms:W3CDTF">2026-03-24T17:08:15Z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0x0101000906838DC798B74DBBEFD80FCCD0F0FF</vt:lpwstr>
  </property>
</Properties>
</file>